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638542" w14:textId="77777777" w:rsidR="00BA3FBD" w:rsidRDefault="00000000" w:rsidP="00FE39FE">
      <w:pPr>
        <w:widowControl w:val="0"/>
        <w:pBdr>
          <w:top w:val="nil"/>
          <w:left w:val="nil"/>
          <w:bottom w:val="nil"/>
          <w:right w:val="nil"/>
          <w:between w:val="nil"/>
        </w:pBdr>
        <w:spacing w:line="240" w:lineRule="auto"/>
        <w:ind w:right="2237"/>
        <w:rPr>
          <w:rFonts w:ascii="Garamond" w:eastAsia="Garamond" w:hAnsi="Garamond" w:cs="Garamond"/>
          <w:b/>
          <w:i/>
          <w:color w:val="191919"/>
          <w:sz w:val="21"/>
          <w:szCs w:val="21"/>
        </w:rPr>
      </w:pPr>
      <w:r>
        <w:rPr>
          <w:rFonts w:ascii="Garamond" w:eastAsia="Garamond" w:hAnsi="Garamond" w:cs="Garamond"/>
          <w:b/>
          <w:i/>
          <w:color w:val="191919"/>
          <w:sz w:val="21"/>
          <w:szCs w:val="21"/>
          <w:highlight w:val="white"/>
        </w:rPr>
        <w:t>The Impact of Cash Transfers for Rapid</w:t>
      </w:r>
      <w:r w:rsidR="00FE39FE">
        <w:rPr>
          <w:rFonts w:ascii="Garamond" w:eastAsia="Garamond" w:hAnsi="Garamond" w:cs="Garamond"/>
          <w:b/>
          <w:i/>
          <w:color w:val="191919"/>
          <w:sz w:val="21"/>
          <w:szCs w:val="21"/>
          <w:highlight w:val="white"/>
        </w:rPr>
        <w:t xml:space="preserve"> </w:t>
      </w:r>
      <w:r>
        <w:rPr>
          <w:rFonts w:ascii="Garamond" w:eastAsia="Garamond" w:hAnsi="Garamond" w:cs="Garamond"/>
          <w:b/>
          <w:i/>
          <w:color w:val="191919"/>
          <w:sz w:val="21"/>
          <w:szCs w:val="21"/>
          <w:highlight w:val="white"/>
        </w:rPr>
        <w:t>Rehousing Clients</w:t>
      </w:r>
    </w:p>
    <w:p w14:paraId="2BFC08D3" w14:textId="4737306C" w:rsidR="00BA3FBD" w:rsidRDefault="00FE39FE">
      <w:pPr>
        <w:widowControl w:val="0"/>
        <w:pBdr>
          <w:top w:val="nil"/>
          <w:left w:val="nil"/>
          <w:bottom w:val="nil"/>
          <w:right w:val="nil"/>
          <w:between w:val="nil"/>
        </w:pBdr>
        <w:spacing w:before="265" w:line="240" w:lineRule="auto"/>
        <w:ind w:left="135"/>
        <w:rPr>
          <w:rFonts w:ascii="Garamond" w:eastAsia="Garamond" w:hAnsi="Garamond" w:cs="Garamond"/>
          <w:b/>
          <w:color w:val="000000"/>
        </w:rPr>
      </w:pPr>
      <w:r>
        <w:rPr>
          <w:rFonts w:ascii="Garamond" w:eastAsia="Garamond" w:hAnsi="Garamond" w:cs="Garamond"/>
          <w:b/>
          <w:noProof/>
          <w:color w:val="000000"/>
        </w:rPr>
        <mc:AlternateContent>
          <mc:Choice Requires="wps">
            <w:drawing>
              <wp:anchor distT="0" distB="0" distL="114300" distR="114300" simplePos="0" relativeHeight="251659264" behindDoc="1" locked="0" layoutInCell="1" allowOverlap="1" wp14:anchorId="7ADBFF1D" wp14:editId="79FA9441">
                <wp:simplePos x="0" y="0"/>
                <wp:positionH relativeFrom="column">
                  <wp:posOffset>5493323</wp:posOffset>
                </wp:positionH>
                <wp:positionV relativeFrom="paragraph">
                  <wp:posOffset>218256</wp:posOffset>
                </wp:positionV>
                <wp:extent cx="1061720" cy="2197100"/>
                <wp:effectExtent l="0" t="0" r="5080" b="0"/>
                <wp:wrapTight wrapText="bothSides">
                  <wp:wrapPolygon edited="0">
                    <wp:start x="0" y="0"/>
                    <wp:lineTo x="0" y="21475"/>
                    <wp:lineTo x="21445" y="21475"/>
                    <wp:lineTo x="21445" y="0"/>
                    <wp:lineTo x="0" y="0"/>
                  </wp:wrapPolygon>
                </wp:wrapTight>
                <wp:docPr id="1307442675" name="Text Box 1"/>
                <wp:cNvGraphicFramePr/>
                <a:graphic xmlns:a="http://schemas.openxmlformats.org/drawingml/2006/main">
                  <a:graphicData uri="http://schemas.microsoft.com/office/word/2010/wordprocessingShape">
                    <wps:wsp>
                      <wps:cNvSpPr txBox="1"/>
                      <wps:spPr>
                        <a:xfrm>
                          <a:off x="0" y="0"/>
                          <a:ext cx="1061720" cy="2197100"/>
                        </a:xfrm>
                        <a:prstGeom prst="rect">
                          <a:avLst/>
                        </a:prstGeom>
                        <a:solidFill>
                          <a:srgbClr val="E35925"/>
                        </a:solidFill>
                        <a:ln w="6350">
                          <a:noFill/>
                        </a:ln>
                      </wps:spPr>
                      <wps:txbx>
                        <w:txbxContent>
                          <w:p w14:paraId="6C20E18E" w14:textId="77777777" w:rsidR="00FE39FE" w:rsidRPr="00FE39FE" w:rsidRDefault="00FE39FE" w:rsidP="00FE39FE">
                            <w:pPr>
                              <w:widowControl w:val="0"/>
                              <w:pBdr>
                                <w:top w:val="nil"/>
                                <w:left w:val="nil"/>
                                <w:bottom w:val="nil"/>
                                <w:right w:val="nil"/>
                                <w:between w:val="nil"/>
                              </w:pBdr>
                              <w:spacing w:line="240" w:lineRule="auto"/>
                              <w:rPr>
                                <w:rFonts w:ascii="Garamond" w:hAnsi="Garamond"/>
                                <w:b/>
                                <w:bCs/>
                                <w:color w:val="FFFFFF" w:themeColor="background1"/>
                                <w:sz w:val="16"/>
                                <w:szCs w:val="16"/>
                              </w:rPr>
                            </w:pPr>
                            <w:r w:rsidRPr="00FE39FE">
                              <w:rPr>
                                <w:rFonts w:ascii="Garamond" w:hAnsi="Garamond"/>
                                <w:b/>
                                <w:bCs/>
                                <w:color w:val="FFFFFF" w:themeColor="background1"/>
                                <w:sz w:val="16"/>
                                <w:szCs w:val="16"/>
                              </w:rPr>
                              <w:t>Proposals should begin with an abstract of 150-200 words which should include information on the research question(s), hypothesis, intervention, (potential) sample size, and outcomes. </w:t>
                            </w:r>
                          </w:p>
                          <w:p w14:paraId="1D3724B3" w14:textId="77777777" w:rsidR="00FE39FE" w:rsidRPr="00FE39FE" w:rsidRDefault="00FE39FE" w:rsidP="00FE39FE">
                            <w:pPr>
                              <w:widowControl w:val="0"/>
                              <w:pBdr>
                                <w:top w:val="nil"/>
                                <w:left w:val="nil"/>
                                <w:bottom w:val="nil"/>
                                <w:right w:val="nil"/>
                                <w:between w:val="nil"/>
                              </w:pBdr>
                              <w:spacing w:line="240" w:lineRule="auto"/>
                              <w:rPr>
                                <w:rFonts w:ascii="Garamond" w:hAnsi="Garamond"/>
                                <w:b/>
                                <w:bCs/>
                                <w:color w:val="FFFFFF" w:themeColor="background1"/>
                                <w:sz w:val="16"/>
                                <w:szCs w:val="16"/>
                              </w:rPr>
                            </w:pPr>
                          </w:p>
                          <w:p w14:paraId="35FB83D0" w14:textId="77777777" w:rsidR="00FE39FE" w:rsidRPr="00FE39FE" w:rsidRDefault="00FE39FE" w:rsidP="00FE39FE">
                            <w:pPr>
                              <w:widowControl w:val="0"/>
                              <w:pBdr>
                                <w:top w:val="nil"/>
                                <w:left w:val="nil"/>
                                <w:bottom w:val="nil"/>
                                <w:right w:val="nil"/>
                                <w:between w:val="nil"/>
                              </w:pBdr>
                              <w:spacing w:line="240" w:lineRule="auto"/>
                              <w:rPr>
                                <w:rFonts w:ascii="Garamond" w:hAnsi="Garamond"/>
                                <w:b/>
                                <w:bCs/>
                                <w:color w:val="FFFFFF" w:themeColor="background1"/>
                                <w:sz w:val="16"/>
                                <w:szCs w:val="16"/>
                              </w:rPr>
                            </w:pPr>
                            <w:r w:rsidRPr="00FE39FE">
                              <w:rPr>
                                <w:rFonts w:ascii="Garamond" w:hAnsi="Garamond"/>
                                <w:b/>
                                <w:bCs/>
                                <w:color w:val="FFFFFF" w:themeColor="background1"/>
                                <w:sz w:val="16"/>
                                <w:szCs w:val="16"/>
                              </w:rPr>
                              <w:t>Here, the PIs also establish the policy relevance and connection to poverty.</w:t>
                            </w:r>
                          </w:p>
                          <w:p w14:paraId="6B3B87D9" w14:textId="77777777" w:rsidR="00FE39FE" w:rsidRPr="00FE39FE" w:rsidRDefault="00FE39FE" w:rsidP="00FE39FE">
                            <w:pPr>
                              <w:widowControl w:val="0"/>
                              <w:pBdr>
                                <w:top w:val="nil"/>
                                <w:left w:val="nil"/>
                                <w:bottom w:val="nil"/>
                                <w:right w:val="nil"/>
                                <w:between w:val="nil"/>
                              </w:pBdr>
                              <w:spacing w:line="240" w:lineRule="auto"/>
                              <w:rPr>
                                <w:rFonts w:ascii="Garamond" w:hAnsi="Garamond"/>
                                <w:b/>
                                <w:bCs/>
                                <w:color w:val="FFFFFF" w:themeColor="background1"/>
                                <w:sz w:val="16"/>
                                <w:szCs w:val="16"/>
                              </w:rPr>
                            </w:pPr>
                          </w:p>
                          <w:p w14:paraId="5AA7FACE" w14:textId="77777777" w:rsidR="00FE39FE" w:rsidRPr="00FE39FE" w:rsidRDefault="00FE39FE">
                            <w:pPr>
                              <w:rPr>
                                <w:rFonts w:ascii="Garamond" w:hAnsi="Garamond"/>
                                <w:b/>
                                <w:bCs/>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DBFF1D" id="_x0000_t202" coordsize="21600,21600" o:spt="202" path="m,l,21600r21600,l21600,xe">
                <v:stroke joinstyle="miter"/>
                <v:path gradientshapeok="t" o:connecttype="rect"/>
              </v:shapetype>
              <v:shape id="Text Box 1" o:spid="_x0000_s1026" type="#_x0000_t202" style="position:absolute;left:0;text-align:left;margin-left:432.55pt;margin-top:17.2pt;width:83.6pt;height:1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" fillcolor="#e35925" stroked="f" strokeweight=".5pt">
                <v:textbox>
                  <w:txbxContent>
                    <w:p w14:paraId="6C20E18E" w14:textId="77777777" w:rsidR="00FE39FE" w:rsidRPr="00FE39FE" w:rsidRDefault="00FE39FE" w:rsidP="00FE39FE">
                      <w:pPr>
                        <w:widowControl w:val="0"/>
                        <w:pBdr>
                          <w:top w:val="nil"/>
                          <w:left w:val="nil"/>
                          <w:bottom w:val="nil"/>
                          <w:right w:val="nil"/>
                          <w:between w:val="nil"/>
                        </w:pBdr>
                        <w:spacing w:line="240" w:lineRule="auto"/>
                        <w:rPr>
                          <w:rFonts w:ascii="Garamond" w:hAnsi="Garamond"/>
                          <w:b/>
                          <w:bCs/>
                          <w:color w:val="FFFFFF" w:themeColor="background1"/>
                          <w:sz w:val="16"/>
                          <w:szCs w:val="16"/>
                        </w:rPr>
                      </w:pPr>
                      <w:r w:rsidRPr="00FE39FE">
                        <w:rPr>
                          <w:rFonts w:ascii="Garamond" w:hAnsi="Garamond"/>
                          <w:b/>
                          <w:bCs/>
                          <w:color w:val="FFFFFF" w:themeColor="background1"/>
                          <w:sz w:val="16"/>
                          <w:szCs w:val="16"/>
                        </w:rPr>
                        <w:t>Proposals should begin with an abstract of 150-200 words which should include information on the research question(s), hypothesis, intervention, (potential) sample size, and outcomes. </w:t>
                      </w:r>
                    </w:p>
                    <w:p w14:paraId="1D3724B3" w14:textId="77777777" w:rsidR="00FE39FE" w:rsidRPr="00FE39FE" w:rsidRDefault="00FE39FE" w:rsidP="00FE39FE">
                      <w:pPr>
                        <w:widowControl w:val="0"/>
                        <w:pBdr>
                          <w:top w:val="nil"/>
                          <w:left w:val="nil"/>
                          <w:bottom w:val="nil"/>
                          <w:right w:val="nil"/>
                          <w:between w:val="nil"/>
                        </w:pBdr>
                        <w:spacing w:line="240" w:lineRule="auto"/>
                        <w:rPr>
                          <w:rFonts w:ascii="Garamond" w:hAnsi="Garamond"/>
                          <w:b/>
                          <w:bCs/>
                          <w:color w:val="FFFFFF" w:themeColor="background1"/>
                          <w:sz w:val="16"/>
                          <w:szCs w:val="16"/>
                        </w:rPr>
                      </w:pPr>
                    </w:p>
                    <w:p w14:paraId="35FB83D0" w14:textId="77777777" w:rsidR="00FE39FE" w:rsidRPr="00FE39FE" w:rsidRDefault="00FE39FE" w:rsidP="00FE39FE">
                      <w:pPr>
                        <w:widowControl w:val="0"/>
                        <w:pBdr>
                          <w:top w:val="nil"/>
                          <w:left w:val="nil"/>
                          <w:bottom w:val="nil"/>
                          <w:right w:val="nil"/>
                          <w:between w:val="nil"/>
                        </w:pBdr>
                        <w:spacing w:line="240" w:lineRule="auto"/>
                        <w:rPr>
                          <w:rFonts w:ascii="Garamond" w:hAnsi="Garamond"/>
                          <w:b/>
                          <w:bCs/>
                          <w:color w:val="FFFFFF" w:themeColor="background1"/>
                          <w:sz w:val="16"/>
                          <w:szCs w:val="16"/>
                        </w:rPr>
                      </w:pPr>
                      <w:r w:rsidRPr="00FE39FE">
                        <w:rPr>
                          <w:rFonts w:ascii="Garamond" w:hAnsi="Garamond"/>
                          <w:b/>
                          <w:bCs/>
                          <w:color w:val="FFFFFF" w:themeColor="background1"/>
                          <w:sz w:val="16"/>
                          <w:szCs w:val="16"/>
                        </w:rPr>
                        <w:t>Here, the PIs also establish the policy relevance and connection to poverty.</w:t>
                      </w:r>
                    </w:p>
                    <w:p w14:paraId="6B3B87D9" w14:textId="77777777" w:rsidR="00FE39FE" w:rsidRPr="00FE39FE" w:rsidRDefault="00FE39FE" w:rsidP="00FE39FE">
                      <w:pPr>
                        <w:widowControl w:val="0"/>
                        <w:pBdr>
                          <w:top w:val="nil"/>
                          <w:left w:val="nil"/>
                          <w:bottom w:val="nil"/>
                          <w:right w:val="nil"/>
                          <w:between w:val="nil"/>
                        </w:pBdr>
                        <w:spacing w:line="240" w:lineRule="auto"/>
                        <w:rPr>
                          <w:rFonts w:ascii="Garamond" w:hAnsi="Garamond"/>
                          <w:b/>
                          <w:bCs/>
                          <w:color w:val="FFFFFF" w:themeColor="background1"/>
                          <w:sz w:val="16"/>
                          <w:szCs w:val="16"/>
                        </w:rPr>
                      </w:pPr>
                    </w:p>
                    <w:p w14:paraId="5AA7FACE" w14:textId="77777777" w:rsidR="00FE39FE" w:rsidRPr="00FE39FE" w:rsidRDefault="00FE39FE">
                      <w:pPr>
                        <w:rPr>
                          <w:rFonts w:ascii="Garamond" w:hAnsi="Garamond"/>
                          <w:b/>
                          <w:bCs/>
                          <w:color w:val="FFFFFF" w:themeColor="background1"/>
                          <w:sz w:val="16"/>
                          <w:szCs w:val="16"/>
                        </w:rPr>
                      </w:pPr>
                    </w:p>
                  </w:txbxContent>
                </v:textbox>
                <w10:wrap type="tight"/>
              </v:shape>
            </w:pict>
          </mc:Fallback>
        </mc:AlternateContent>
      </w:r>
      <w:r>
        <w:rPr>
          <w:rFonts w:ascii="Garamond" w:eastAsia="Garamond" w:hAnsi="Garamond" w:cs="Garamond"/>
          <w:b/>
          <w:color w:val="000000"/>
        </w:rPr>
        <w:t xml:space="preserve">PROJECT ABSTRACT </w:t>
      </w:r>
    </w:p>
    <w:p w14:paraId="7EEB43F1" w14:textId="232F5D10" w:rsidR="00BA3FBD" w:rsidRDefault="00000000">
      <w:pPr>
        <w:widowControl w:val="0"/>
        <w:pBdr>
          <w:top w:val="nil"/>
          <w:left w:val="nil"/>
          <w:bottom w:val="nil"/>
          <w:right w:val="nil"/>
          <w:between w:val="nil"/>
        </w:pBdr>
        <w:spacing w:line="224" w:lineRule="auto"/>
        <w:ind w:left="130" w:right="22" w:firstLine="721"/>
        <w:rPr>
          <w:rFonts w:ascii="Garamond" w:eastAsia="Garamond" w:hAnsi="Garamond" w:cs="Garamond"/>
          <w:color w:val="000000"/>
        </w:rPr>
      </w:pPr>
      <w:r>
        <w:rPr>
          <w:rFonts w:ascii="Garamond" w:eastAsia="Garamond" w:hAnsi="Garamond" w:cs="Garamond"/>
          <w:color w:val="000000"/>
        </w:rPr>
        <w:t xml:space="preserve">More than half a million individuals in the U.S. are homeless at a point in time (HUD, 2022). Rapid Re-Housing (RRH) programs are an increasingly common policy response designed to help people transition from homelessness to stable housing. These programs offer a combination of temporary benefits that typically last between 6 and 24 months, such as housing identification assistance, rental subsidies, and case management. Despite these benefits, 28% of individuals return to homelessness within a year after exiting RRH (Walton et al, 2018). Anecdotal evidence suggests that a primary reason many </w:t>
      </w:r>
      <w:proofErr w:type="gramStart"/>
      <w:r>
        <w:rPr>
          <w:rFonts w:ascii="Garamond" w:eastAsia="Garamond" w:hAnsi="Garamond" w:cs="Garamond"/>
          <w:color w:val="000000"/>
        </w:rPr>
        <w:t>return</w:t>
      </w:r>
      <w:proofErr w:type="gramEnd"/>
      <w:r>
        <w:rPr>
          <w:rFonts w:ascii="Garamond" w:eastAsia="Garamond" w:hAnsi="Garamond" w:cs="Garamond"/>
          <w:color w:val="000000"/>
        </w:rPr>
        <w:t xml:space="preserve"> to homelessness is they still do not have a sufficiently stable income stream when the rental subsidies expire. We explore one possible way to bridge the gap: offering cash transfers to participants the year after exiting RRH. We quantify the impact of cash transfers through a randomized controlled trial (RCT), randomly offering monthly payments totaling approximately $13,000-$16,000 over 12 months. Our target sample is 990 individuals exiting RRH across five counties in the San Francisco Bay area. Using administrative data, we will measure the impact of cash transfers on homelessness, housing stability, financial security and other outcomes one and two years after enrollment. </w:t>
      </w:r>
    </w:p>
    <w:p w14:paraId="229A64B8" w14:textId="65DF8455" w:rsidR="00BA3FBD" w:rsidRDefault="00000000">
      <w:pPr>
        <w:widowControl w:val="0"/>
        <w:pBdr>
          <w:top w:val="nil"/>
          <w:left w:val="nil"/>
          <w:bottom w:val="nil"/>
          <w:right w:val="nil"/>
          <w:between w:val="nil"/>
        </w:pBdr>
        <w:spacing w:before="280" w:line="240" w:lineRule="auto"/>
        <w:ind w:left="130"/>
        <w:rPr>
          <w:rFonts w:ascii="Garamond" w:eastAsia="Garamond" w:hAnsi="Garamond" w:cs="Garamond"/>
          <w:b/>
          <w:color w:val="000000"/>
        </w:rPr>
      </w:pPr>
      <w:r>
        <w:rPr>
          <w:rFonts w:ascii="Garamond" w:eastAsia="Garamond" w:hAnsi="Garamond" w:cs="Garamond"/>
          <w:b/>
          <w:color w:val="000000"/>
        </w:rPr>
        <w:t xml:space="preserve">NARRATIVE </w:t>
      </w:r>
    </w:p>
    <w:p w14:paraId="1816BD8A" w14:textId="202FD436" w:rsidR="00BA3FBD" w:rsidRDefault="00000000">
      <w:pPr>
        <w:widowControl w:val="0"/>
        <w:pBdr>
          <w:top w:val="nil"/>
          <w:left w:val="nil"/>
          <w:bottom w:val="nil"/>
          <w:right w:val="nil"/>
          <w:between w:val="nil"/>
        </w:pBdr>
        <w:spacing w:line="240" w:lineRule="auto"/>
        <w:ind w:left="127"/>
        <w:rPr>
          <w:rFonts w:ascii="Garamond" w:eastAsia="Garamond" w:hAnsi="Garamond" w:cs="Garamond"/>
          <w:b/>
          <w:color w:val="000000"/>
        </w:rPr>
      </w:pPr>
      <w:r>
        <w:rPr>
          <w:rFonts w:ascii="Garamond" w:eastAsia="Garamond" w:hAnsi="Garamond" w:cs="Garamond"/>
          <w:b/>
          <w:color w:val="000000"/>
        </w:rPr>
        <w:t xml:space="preserve">A. Relevance to Public Policy and Issues of Poverty </w:t>
      </w:r>
    </w:p>
    <w:p w14:paraId="3B7210AE" w14:textId="44B1E1A0" w:rsidR="00BA3FBD" w:rsidRDefault="00000000">
      <w:pPr>
        <w:widowControl w:val="0"/>
        <w:pBdr>
          <w:top w:val="nil"/>
          <w:left w:val="nil"/>
          <w:bottom w:val="nil"/>
          <w:right w:val="nil"/>
          <w:between w:val="nil"/>
        </w:pBdr>
        <w:spacing w:line="224" w:lineRule="auto"/>
        <w:ind w:left="127" w:right="34" w:firstLine="727"/>
        <w:rPr>
          <w:rFonts w:ascii="Garamond" w:eastAsia="Garamond" w:hAnsi="Garamond" w:cs="Garamond"/>
          <w:color w:val="000000"/>
        </w:rPr>
      </w:pPr>
      <w:r>
        <w:rPr>
          <w:rFonts w:ascii="Garamond" w:eastAsia="Garamond" w:hAnsi="Garamond" w:cs="Garamond"/>
          <w:color w:val="000000"/>
        </w:rPr>
        <w:t xml:space="preserve">Each year the federal government allocates billions of dollars to help those experiencing homelessness transition to stable housing. One such program is Rapid Re-Housing (RRH), which has been widely adopted over the last decade. In 2021, RRH accounted for 15% of all beds available to people experiencing </w:t>
      </w:r>
      <w:r>
        <w:rPr>
          <w:rFonts w:ascii="Garamond" w:eastAsia="Garamond" w:hAnsi="Garamond" w:cs="Garamond"/>
        </w:rPr>
        <w:t>homelessness</w:t>
      </w:r>
      <w:r>
        <w:rPr>
          <w:rFonts w:ascii="Garamond" w:eastAsia="Garamond" w:hAnsi="Garamond" w:cs="Garamond"/>
          <w:color w:val="000000"/>
        </w:rPr>
        <w:t xml:space="preserve">, and RRH beds have increased 263% since 2014 (HUD, 2022). The aim of RRH is to connect individuals presently experiencing homelessness to private market housing, with 6-24 months of case management and rent assistance that tapers over time. The short-term nature of RRH means that more people can be served relative to longer-term solutions, such as Housing Choice vouchers (formerly Section 8), which provides rent subsidies indefinitely. However, evidence shows RRH recipients are at high risk of returning to homelessness after benefits fade out: 28% experience homelessness within 12 months of exiting the program (Walton et al., 2018). </w:t>
      </w:r>
    </w:p>
    <w:p w14:paraId="21F6A9DF" w14:textId="6684213B" w:rsidR="00BA3FBD" w:rsidRDefault="00000000">
      <w:pPr>
        <w:widowControl w:val="0"/>
        <w:pBdr>
          <w:top w:val="nil"/>
          <w:left w:val="nil"/>
          <w:bottom w:val="nil"/>
          <w:right w:val="nil"/>
          <w:between w:val="nil"/>
        </w:pBdr>
        <w:spacing w:before="4" w:line="224" w:lineRule="auto"/>
        <w:ind w:left="134" w:right="73" w:firstLine="585"/>
        <w:rPr>
          <w:rFonts w:ascii="Garamond" w:eastAsia="Garamond" w:hAnsi="Garamond" w:cs="Garamond"/>
          <w:color w:val="000000"/>
        </w:rPr>
      </w:pPr>
      <w:r>
        <w:rPr>
          <w:rFonts w:ascii="Garamond" w:eastAsia="Garamond" w:hAnsi="Garamond" w:cs="Garamond"/>
          <w:color w:val="000000"/>
        </w:rPr>
        <w:t xml:space="preserve">In recent years, policymakers have started leveraging unconditional cash transfers to promote financial stability (for example, see descriptions of several pilots of basic income programs in Hoynes and Rothstein, 2019). Most programs provide monthly cash payments directly to recipients for a specified duration, typically between one and three years. Transfers positively impact client outcomes; however, to date, there are no completed studies on cash transfers for people facing a high risk of homelessness. </w:t>
      </w:r>
    </w:p>
    <w:p w14:paraId="0EDF8E81" w14:textId="75FBBDB4" w:rsidR="00BA3FBD" w:rsidRDefault="00307834">
      <w:pPr>
        <w:widowControl w:val="0"/>
        <w:pBdr>
          <w:top w:val="nil"/>
          <w:left w:val="nil"/>
          <w:bottom w:val="nil"/>
          <w:right w:val="nil"/>
          <w:between w:val="nil"/>
        </w:pBdr>
        <w:spacing w:before="4" w:line="224" w:lineRule="auto"/>
        <w:ind w:left="132" w:right="3" w:firstLine="587"/>
        <w:rPr>
          <w:rFonts w:ascii="Garamond" w:eastAsia="Garamond" w:hAnsi="Garamond" w:cs="Garamond"/>
          <w:color w:val="000000"/>
        </w:rPr>
      </w:pPr>
      <w:r>
        <w:rPr>
          <w:rFonts w:ascii="Garamond" w:eastAsia="Garamond" w:hAnsi="Garamond" w:cs="Garamond"/>
          <w:b/>
          <w:noProof/>
          <w:color w:val="000000"/>
        </w:rPr>
        <mc:AlternateContent>
          <mc:Choice Requires="wps">
            <w:drawing>
              <wp:anchor distT="0" distB="0" distL="114300" distR="114300" simplePos="0" relativeHeight="251661312" behindDoc="1" locked="0" layoutInCell="1" allowOverlap="1" wp14:anchorId="0B91B614" wp14:editId="529302F4">
                <wp:simplePos x="0" y="0"/>
                <wp:positionH relativeFrom="column">
                  <wp:posOffset>4704735</wp:posOffset>
                </wp:positionH>
                <wp:positionV relativeFrom="paragraph">
                  <wp:posOffset>266700</wp:posOffset>
                </wp:positionV>
                <wp:extent cx="1850390" cy="2735580"/>
                <wp:effectExtent l="0" t="0" r="3810" b="0"/>
                <wp:wrapTight wrapText="bothSides">
                  <wp:wrapPolygon edited="0">
                    <wp:start x="0" y="0"/>
                    <wp:lineTo x="0" y="21460"/>
                    <wp:lineTo x="21496" y="21460"/>
                    <wp:lineTo x="21496" y="0"/>
                    <wp:lineTo x="0" y="0"/>
                  </wp:wrapPolygon>
                </wp:wrapTight>
                <wp:docPr id="2007297273" name="Text Box 1"/>
                <wp:cNvGraphicFramePr/>
                <a:graphic xmlns:a="http://schemas.openxmlformats.org/drawingml/2006/main">
                  <a:graphicData uri="http://schemas.microsoft.com/office/word/2010/wordprocessingShape">
                    <wps:wsp>
                      <wps:cNvSpPr txBox="1"/>
                      <wps:spPr>
                        <a:xfrm>
                          <a:off x="0" y="0"/>
                          <a:ext cx="1850390" cy="2735580"/>
                        </a:xfrm>
                        <a:prstGeom prst="rect">
                          <a:avLst/>
                        </a:prstGeom>
                        <a:solidFill>
                          <a:srgbClr val="E35925"/>
                        </a:solidFill>
                        <a:ln w="6350">
                          <a:noFill/>
                        </a:ln>
                      </wps:spPr>
                      <wps:txbx>
                        <w:txbxContent>
                          <w:p w14:paraId="02FCDD5D" w14:textId="7370AA36" w:rsidR="00FE39FE" w:rsidRPr="00FE39FE" w:rsidRDefault="00FE39FE" w:rsidP="00FE39FE">
                            <w:pPr>
                              <w:rPr>
                                <w:rFonts w:ascii="Garamond" w:hAnsi="Garamond"/>
                                <w:b/>
                                <w:bCs/>
                                <w:color w:val="FFFFFF" w:themeColor="background1"/>
                                <w:sz w:val="16"/>
                                <w:szCs w:val="16"/>
                              </w:rPr>
                            </w:pPr>
                            <w:r w:rsidRPr="00FE39FE">
                              <w:rPr>
                                <w:rFonts w:ascii="Garamond" w:hAnsi="Garamond"/>
                                <w:b/>
                                <w:bCs/>
                                <w:color w:val="FFFFFF" w:themeColor="background1"/>
                                <w:sz w:val="16"/>
                                <w:szCs w:val="16"/>
                              </w:rPr>
                              <w:t xml:space="preserve">J-PAL NA funds randomized evaluations that contribute to our mission of reducing poverty by ensuring policy is informed by rigorous evidence. Research questions should address a pressing public policy issue with significant impact on people who </w:t>
                            </w:r>
                            <w:r w:rsidR="00076539">
                              <w:rPr>
                                <w:rFonts w:ascii="Garamond" w:hAnsi="Garamond"/>
                                <w:b/>
                                <w:bCs/>
                                <w:color w:val="FFFFFF" w:themeColor="background1"/>
                                <w:sz w:val="16"/>
                                <w:szCs w:val="16"/>
                              </w:rPr>
                              <w:t>have</w:t>
                            </w:r>
                            <w:r w:rsidRPr="00FE39FE">
                              <w:rPr>
                                <w:rFonts w:ascii="Garamond" w:hAnsi="Garamond"/>
                                <w:b/>
                                <w:bCs/>
                                <w:color w:val="FFFFFF" w:themeColor="background1"/>
                                <w:sz w:val="16"/>
                                <w:szCs w:val="16"/>
                              </w:rPr>
                              <w:t xml:space="preserve"> low-income or living in poverty, who have risk factors associated with falling into poverty, or who identify as members of a racial/ethnic group risk of living</w:t>
                            </w:r>
                            <w:r w:rsidR="00076539">
                              <w:rPr>
                                <w:rFonts w:ascii="Garamond" w:hAnsi="Garamond"/>
                                <w:b/>
                                <w:bCs/>
                                <w:color w:val="FFFFFF" w:themeColor="background1"/>
                                <w:sz w:val="16"/>
                                <w:szCs w:val="16"/>
                              </w:rPr>
                              <w:t xml:space="preserve"> with</w:t>
                            </w:r>
                            <w:r w:rsidRPr="00FE39FE">
                              <w:rPr>
                                <w:rFonts w:ascii="Garamond" w:hAnsi="Garamond"/>
                                <w:b/>
                                <w:bCs/>
                                <w:color w:val="FFFFFF" w:themeColor="background1"/>
                                <w:sz w:val="16"/>
                                <w:szCs w:val="16"/>
                              </w:rPr>
                              <w:t>/falling into poverty due to structural racism. Proposals should discuss the policy landscape, potential contributions of the proposed evaluation to public policy, and potential to generate benefits for economically marginalized populations.</w:t>
                            </w:r>
                          </w:p>
                          <w:p w14:paraId="1458AB3D" w14:textId="77777777" w:rsidR="00FE39FE" w:rsidRPr="00FE39FE" w:rsidRDefault="00FE39FE" w:rsidP="00FE39FE">
                            <w:pPr>
                              <w:rPr>
                                <w:rFonts w:ascii="Garamond" w:hAnsi="Garamond"/>
                                <w:b/>
                                <w:bCs/>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91B614" id="_x0000_t202" coordsize="21600,21600" o:spt="202" path="m,l,21600r21600,l21600,xe">
                <v:stroke joinstyle="miter"/>
                <v:path gradientshapeok="t" o:connecttype="rect"/>
              </v:shapetype>
              <v:shape id="_x0000_s1027" type="#_x0000_t202" style="position:absolute;left:0;text-align:left;margin-left:370.45pt;margin-top:21pt;width:145.7pt;height:215.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" fillcolor="#e35925" stroked="f" strokeweight=".5pt">
                <v:textbox>
                  <w:txbxContent>
                    <w:p w14:paraId="02FCDD5D" w14:textId="7370AA36" w:rsidR="00FE39FE" w:rsidRPr="00FE39FE" w:rsidRDefault="00FE39FE" w:rsidP="00FE39FE">
                      <w:pPr>
                        <w:rPr>
                          <w:rFonts w:ascii="Garamond" w:hAnsi="Garamond"/>
                          <w:b/>
                          <w:bCs/>
                          <w:color w:val="FFFFFF" w:themeColor="background1"/>
                          <w:sz w:val="16"/>
                          <w:szCs w:val="16"/>
                        </w:rPr>
                      </w:pPr>
                      <w:r w:rsidRPr="00FE39FE">
                        <w:rPr>
                          <w:rFonts w:ascii="Garamond" w:hAnsi="Garamond"/>
                          <w:b/>
                          <w:bCs/>
                          <w:color w:val="FFFFFF" w:themeColor="background1"/>
                          <w:sz w:val="16"/>
                          <w:szCs w:val="16"/>
                        </w:rPr>
                        <w:t xml:space="preserve">J-PAL NA funds randomized evaluations that contribute to our mission of reducing poverty by ensuring policy is informed by rigorous evidence. Research questions should address a pressing public policy issue with significant impact on people who </w:t>
                      </w:r>
                      <w:r w:rsidR="00076539">
                        <w:rPr>
                          <w:rFonts w:ascii="Garamond" w:hAnsi="Garamond"/>
                          <w:b/>
                          <w:bCs/>
                          <w:color w:val="FFFFFF" w:themeColor="background1"/>
                          <w:sz w:val="16"/>
                          <w:szCs w:val="16"/>
                        </w:rPr>
                        <w:t>have</w:t>
                      </w:r>
                      <w:r w:rsidRPr="00FE39FE">
                        <w:rPr>
                          <w:rFonts w:ascii="Garamond" w:hAnsi="Garamond"/>
                          <w:b/>
                          <w:bCs/>
                          <w:color w:val="FFFFFF" w:themeColor="background1"/>
                          <w:sz w:val="16"/>
                          <w:szCs w:val="16"/>
                        </w:rPr>
                        <w:t xml:space="preserve"> low-income or living in poverty, who have risk factors associated with falling into poverty, or who identify as members of a racial/ethnic group risk of living</w:t>
                      </w:r>
                      <w:r w:rsidR="00076539">
                        <w:rPr>
                          <w:rFonts w:ascii="Garamond" w:hAnsi="Garamond"/>
                          <w:b/>
                          <w:bCs/>
                          <w:color w:val="FFFFFF" w:themeColor="background1"/>
                          <w:sz w:val="16"/>
                          <w:szCs w:val="16"/>
                        </w:rPr>
                        <w:t xml:space="preserve"> with</w:t>
                      </w:r>
                      <w:r w:rsidRPr="00FE39FE">
                        <w:rPr>
                          <w:rFonts w:ascii="Garamond" w:hAnsi="Garamond"/>
                          <w:b/>
                          <w:bCs/>
                          <w:color w:val="FFFFFF" w:themeColor="background1"/>
                          <w:sz w:val="16"/>
                          <w:szCs w:val="16"/>
                        </w:rPr>
                        <w:t>/falling into poverty due to structural racism. Proposals should discuss the policy landscape, potential contributions of the proposed evaluation to public policy, and potential to generate benefits for economically marginalized populations.</w:t>
                      </w:r>
                    </w:p>
                    <w:p w14:paraId="1458AB3D" w14:textId="77777777" w:rsidR="00FE39FE" w:rsidRPr="00FE39FE" w:rsidRDefault="00FE39FE" w:rsidP="00FE39FE">
                      <w:pPr>
                        <w:rPr>
                          <w:rFonts w:ascii="Garamond" w:hAnsi="Garamond"/>
                          <w:b/>
                          <w:bCs/>
                          <w:color w:val="FFFFFF" w:themeColor="background1"/>
                          <w:sz w:val="16"/>
                          <w:szCs w:val="16"/>
                        </w:rPr>
                      </w:pPr>
                    </w:p>
                  </w:txbxContent>
                </v:textbox>
                <w10:wrap type="tight"/>
              </v:shape>
            </w:pict>
          </mc:Fallback>
        </mc:AlternateContent>
      </w:r>
      <w:r w:rsidR="00FE39FE">
        <w:rPr>
          <w:rFonts w:ascii="Garamond" w:eastAsia="Garamond" w:hAnsi="Garamond" w:cs="Garamond"/>
          <w:color w:val="000000"/>
        </w:rPr>
        <w:t xml:space="preserve">Our experiment will fill the gap by targeting cash payments to those exiting RRH. To target this population, we will partner with Abode Services, the largest provider of homeless housing and services in the Bay Area. At any point in time, Abode supports approximately 5,000 people in housing, including roughly 300 single adults and 900 households with dependents in RRH programs. Among RRH participants served, 50% are female, 30% are Black or African American, and 40% are Hispanic. By drawing our study participants from people exiting RRH at Abode Services, we can better understand how cash transfers affect those from under-represented groups. We are particularly interested in how the effects will differ by gender and race. </w:t>
      </w:r>
    </w:p>
    <w:p w14:paraId="316AB113" w14:textId="248711A1" w:rsidR="00BA3FBD" w:rsidRDefault="00000000">
      <w:pPr>
        <w:widowControl w:val="0"/>
        <w:pBdr>
          <w:top w:val="nil"/>
          <w:left w:val="nil"/>
          <w:bottom w:val="nil"/>
          <w:right w:val="nil"/>
          <w:between w:val="nil"/>
        </w:pBdr>
        <w:spacing w:before="4" w:line="224" w:lineRule="auto"/>
        <w:ind w:left="127" w:right="114" w:firstLine="726"/>
        <w:rPr>
          <w:rFonts w:ascii="Garamond" w:eastAsia="Garamond" w:hAnsi="Garamond" w:cs="Garamond"/>
          <w:color w:val="000000"/>
        </w:rPr>
      </w:pPr>
      <w:r>
        <w:rPr>
          <w:rFonts w:ascii="Garamond" w:eastAsia="Garamond" w:hAnsi="Garamond" w:cs="Garamond"/>
          <w:color w:val="000000"/>
        </w:rPr>
        <w:t xml:space="preserve">If shown to be effective, targeting unconditional cash transfers to those exiting RRH has the potential to influence the structure of housing programs and policies around the country. While RRH programs are widespread, they fall short in supporting clients’ long-term success, given the high rates of returning to homelessness. Cash transfers are expensive, but if they are shown to significantly reduce returns to </w:t>
      </w:r>
      <w:proofErr w:type="gramStart"/>
      <w:r>
        <w:rPr>
          <w:rFonts w:ascii="Garamond" w:eastAsia="Garamond" w:hAnsi="Garamond" w:cs="Garamond"/>
          <w:color w:val="000000"/>
        </w:rPr>
        <w:t>homelessness</w:t>
      </w:r>
      <w:proofErr w:type="gramEnd"/>
      <w:r>
        <w:rPr>
          <w:rFonts w:ascii="Garamond" w:eastAsia="Garamond" w:hAnsi="Garamond" w:cs="Garamond"/>
          <w:color w:val="000000"/>
        </w:rPr>
        <w:t xml:space="preserve"> they may result in not only direct benefits to the individual but also cost savings associated with the use of other services. It will be important to understand the full benefits of these transfers to determine whether they justify their costs. For this reason, we aim to track a rich set of participant outcomes that capture direct benefits to the recipient as well as societal benefits and cost savings. </w:t>
      </w:r>
    </w:p>
    <w:p w14:paraId="6517E0F2" w14:textId="6A692C94" w:rsidR="00BA3FBD" w:rsidRDefault="00000000">
      <w:pPr>
        <w:widowControl w:val="0"/>
        <w:pBdr>
          <w:top w:val="nil"/>
          <w:left w:val="nil"/>
          <w:bottom w:val="nil"/>
          <w:right w:val="nil"/>
          <w:between w:val="nil"/>
        </w:pBdr>
        <w:spacing w:before="280" w:line="240" w:lineRule="auto"/>
        <w:ind w:left="137"/>
        <w:rPr>
          <w:rFonts w:ascii="Garamond" w:eastAsia="Garamond" w:hAnsi="Garamond" w:cs="Garamond"/>
          <w:b/>
          <w:color w:val="000000"/>
        </w:rPr>
      </w:pPr>
      <w:r>
        <w:rPr>
          <w:rFonts w:ascii="Garamond" w:eastAsia="Garamond" w:hAnsi="Garamond" w:cs="Garamond"/>
          <w:b/>
          <w:color w:val="000000"/>
        </w:rPr>
        <w:lastRenderedPageBreak/>
        <w:t xml:space="preserve">B. Academic Contribution </w:t>
      </w:r>
    </w:p>
    <w:p w14:paraId="601D82D9" w14:textId="6A1F84E4" w:rsidR="00BA3FBD" w:rsidRDefault="00000000">
      <w:pPr>
        <w:widowControl w:val="0"/>
        <w:pBdr>
          <w:top w:val="nil"/>
          <w:left w:val="nil"/>
          <w:bottom w:val="nil"/>
          <w:right w:val="nil"/>
          <w:between w:val="nil"/>
        </w:pBdr>
        <w:spacing w:line="224" w:lineRule="auto"/>
        <w:ind w:left="132" w:right="115" w:firstLine="727"/>
        <w:rPr>
          <w:rFonts w:ascii="Garamond" w:eastAsia="Garamond" w:hAnsi="Garamond" w:cs="Garamond"/>
          <w:color w:val="000000"/>
        </w:rPr>
      </w:pPr>
      <w:r>
        <w:rPr>
          <w:rFonts w:ascii="Garamond" w:eastAsia="Garamond" w:hAnsi="Garamond" w:cs="Garamond"/>
          <w:color w:val="000000"/>
        </w:rPr>
        <w:t xml:space="preserve">Quasi-experimental studies show cash transfers can make a difference in material well-being. For example, Akee et al. (2010) found that an exogenous increase in household income of $4,000 for the poorest families increases a child’s education by about one year. Silver and Zhang (2022) found that even a relatively modest increase ($1,000 per year) in government benefits reduced homelessness by 0.184 percentage points (1.3% of the baseline mean) and food insecurity by 0.099 percentage points (4.1% of the baseline mean) over five years among veterans claiming mental disorder disability. Because they use a very large sample of over 800,000 veterans, they are able to detect relatively small effects from relatively small cash transfers with precision. </w:t>
      </w:r>
    </w:p>
    <w:p w14:paraId="67319DFD" w14:textId="7950D930" w:rsidR="00BA3FBD" w:rsidRDefault="00FE39FE">
      <w:pPr>
        <w:widowControl w:val="0"/>
        <w:pBdr>
          <w:top w:val="nil"/>
          <w:left w:val="nil"/>
          <w:bottom w:val="nil"/>
          <w:right w:val="nil"/>
          <w:between w:val="nil"/>
        </w:pBdr>
        <w:spacing w:before="4" w:line="224" w:lineRule="auto"/>
        <w:ind w:left="127" w:right="37" w:firstLine="726"/>
        <w:rPr>
          <w:rFonts w:ascii="Garamond" w:eastAsia="Garamond" w:hAnsi="Garamond" w:cs="Garamond"/>
          <w:color w:val="000000"/>
        </w:rPr>
      </w:pPr>
      <w:r>
        <w:rPr>
          <w:rFonts w:ascii="Garamond" w:eastAsia="Garamond" w:hAnsi="Garamond" w:cs="Garamond"/>
          <w:b/>
          <w:noProof/>
          <w:color w:val="000000"/>
        </w:rPr>
        <mc:AlternateContent>
          <mc:Choice Requires="wps">
            <w:drawing>
              <wp:anchor distT="0" distB="0" distL="114300" distR="114300" simplePos="0" relativeHeight="251663360" behindDoc="1" locked="0" layoutInCell="1" allowOverlap="1" wp14:anchorId="319A2D14" wp14:editId="68734443">
                <wp:simplePos x="0" y="0"/>
                <wp:positionH relativeFrom="column">
                  <wp:posOffset>-12700</wp:posOffset>
                </wp:positionH>
                <wp:positionV relativeFrom="paragraph">
                  <wp:posOffset>119380</wp:posOffset>
                </wp:positionV>
                <wp:extent cx="1889760" cy="1953895"/>
                <wp:effectExtent l="0" t="0" r="2540" b="1905"/>
                <wp:wrapTight wrapText="bothSides">
                  <wp:wrapPolygon edited="0">
                    <wp:start x="0" y="0"/>
                    <wp:lineTo x="0" y="21481"/>
                    <wp:lineTo x="21484" y="21481"/>
                    <wp:lineTo x="21484" y="0"/>
                    <wp:lineTo x="0" y="0"/>
                  </wp:wrapPolygon>
                </wp:wrapTight>
                <wp:docPr id="2112221737" name="Text Box 1"/>
                <wp:cNvGraphicFramePr/>
                <a:graphic xmlns:a="http://schemas.openxmlformats.org/drawingml/2006/main">
                  <a:graphicData uri="http://schemas.microsoft.com/office/word/2010/wordprocessingShape">
                    <wps:wsp>
                      <wps:cNvSpPr txBox="1"/>
                      <wps:spPr>
                        <a:xfrm>
                          <a:off x="0" y="0"/>
                          <a:ext cx="1889760" cy="1953895"/>
                        </a:xfrm>
                        <a:prstGeom prst="rect">
                          <a:avLst/>
                        </a:prstGeom>
                        <a:solidFill>
                          <a:srgbClr val="E35925"/>
                        </a:solidFill>
                        <a:ln w="6350">
                          <a:noFill/>
                        </a:ln>
                      </wps:spPr>
                      <wps:txbx>
                        <w:txbxContent>
                          <w:p w14:paraId="64FEB30A" w14:textId="38D63094" w:rsidR="00FE39FE" w:rsidRPr="00FE39FE" w:rsidRDefault="00FE39FE" w:rsidP="00FE39FE">
                            <w:pPr>
                              <w:rPr>
                                <w:rFonts w:ascii="Garamond" w:hAnsi="Garamond"/>
                                <w:b/>
                                <w:bCs/>
                                <w:color w:val="FFFFFF" w:themeColor="background1"/>
                                <w:sz w:val="16"/>
                                <w:szCs w:val="16"/>
                              </w:rPr>
                            </w:pPr>
                            <w:r w:rsidRPr="00FE39FE">
                              <w:rPr>
                                <w:rFonts w:ascii="Garamond" w:hAnsi="Garamond"/>
                                <w:b/>
                                <w:bCs/>
                                <w:color w:val="FFFFFF" w:themeColor="background1"/>
                                <w:sz w:val="16"/>
                                <w:szCs w:val="16"/>
                              </w:rPr>
                              <w:t xml:space="preserve">Proposals should situate the research within the existing evidence base and explain its potential contributions including any new questions, novel methods, measures, or interventions. Note that reviewers come from different academic backgrounds, </w:t>
                            </w:r>
                            <w:r w:rsidR="00076539">
                              <w:rPr>
                                <w:rFonts w:ascii="Garamond" w:hAnsi="Garamond"/>
                                <w:b/>
                                <w:bCs/>
                                <w:color w:val="FFFFFF" w:themeColor="background1"/>
                                <w:sz w:val="16"/>
                                <w:szCs w:val="16"/>
                              </w:rPr>
                              <w:t xml:space="preserve">so </w:t>
                            </w:r>
                            <w:r w:rsidRPr="00FE39FE">
                              <w:rPr>
                                <w:rFonts w:ascii="Garamond" w:hAnsi="Garamond"/>
                                <w:b/>
                                <w:bCs/>
                                <w:color w:val="FFFFFF" w:themeColor="background1"/>
                                <w:sz w:val="16"/>
                                <w:szCs w:val="16"/>
                              </w:rPr>
                              <w:t>the discussion of the evidence base should be explicit. </w:t>
                            </w:r>
                          </w:p>
                          <w:p w14:paraId="56ABA41D" w14:textId="77777777" w:rsidR="00FE39FE" w:rsidRPr="00FE39FE" w:rsidRDefault="00FE39FE" w:rsidP="00FE39FE">
                            <w:pPr>
                              <w:rPr>
                                <w:rFonts w:ascii="Garamond" w:hAnsi="Garamond"/>
                                <w:b/>
                                <w:bCs/>
                                <w:color w:val="FFFFFF" w:themeColor="background1"/>
                                <w:sz w:val="16"/>
                                <w:szCs w:val="16"/>
                              </w:rPr>
                            </w:pPr>
                          </w:p>
                          <w:p w14:paraId="26CD8A93" w14:textId="12C9BDBE" w:rsidR="00FE39FE" w:rsidRPr="00FE39FE" w:rsidRDefault="00FE39FE" w:rsidP="00FE39FE">
                            <w:pPr>
                              <w:rPr>
                                <w:rFonts w:ascii="Garamond" w:hAnsi="Garamond"/>
                                <w:b/>
                                <w:bCs/>
                                <w:color w:val="FFFFFF" w:themeColor="background1"/>
                                <w:sz w:val="16"/>
                                <w:szCs w:val="16"/>
                              </w:rPr>
                            </w:pPr>
                            <w:r w:rsidRPr="00FE39FE">
                              <w:rPr>
                                <w:rFonts w:ascii="Garamond" w:hAnsi="Garamond"/>
                                <w:b/>
                                <w:bCs/>
                                <w:color w:val="FFFFFF" w:themeColor="background1"/>
                                <w:sz w:val="16"/>
                                <w:szCs w:val="16"/>
                              </w:rPr>
                              <w:t xml:space="preserve">This proposal discusses prior RCT and quasi-experimental work on cash transfers, and outlines the unique </w:t>
                            </w:r>
                            <w:r w:rsidR="00076539">
                              <w:rPr>
                                <w:rFonts w:ascii="Garamond" w:hAnsi="Garamond"/>
                                <w:b/>
                                <w:bCs/>
                                <w:color w:val="FFFFFF" w:themeColor="background1"/>
                                <w:sz w:val="16"/>
                                <w:szCs w:val="16"/>
                              </w:rPr>
                              <w:t>contributions</w:t>
                            </w:r>
                            <w:r w:rsidRPr="00FE39FE">
                              <w:rPr>
                                <w:rFonts w:ascii="Garamond" w:hAnsi="Garamond"/>
                                <w:b/>
                                <w:bCs/>
                                <w:color w:val="FFFFFF" w:themeColor="background1"/>
                                <w:sz w:val="16"/>
                                <w:szCs w:val="16"/>
                              </w:rPr>
                              <w:t xml:space="preserve"> of the proposed 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A2D14" id="_x0000_s1028" type="#_x0000_t202" style="position:absolute;left:0;text-align:left;margin-left:-1pt;margin-top:9.4pt;width:148.8pt;height:153.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" fillcolor="#e35925" stroked="f" strokeweight=".5pt">
                <v:textbox>
                  <w:txbxContent>
                    <w:p w14:paraId="64FEB30A" w14:textId="38D63094" w:rsidR="00FE39FE" w:rsidRPr="00FE39FE" w:rsidRDefault="00FE39FE" w:rsidP="00FE39FE">
                      <w:pPr>
                        <w:rPr>
                          <w:rFonts w:ascii="Garamond" w:hAnsi="Garamond"/>
                          <w:b/>
                          <w:bCs/>
                          <w:color w:val="FFFFFF" w:themeColor="background1"/>
                          <w:sz w:val="16"/>
                          <w:szCs w:val="16"/>
                        </w:rPr>
                      </w:pPr>
                      <w:r w:rsidRPr="00FE39FE">
                        <w:rPr>
                          <w:rFonts w:ascii="Garamond" w:hAnsi="Garamond"/>
                          <w:b/>
                          <w:bCs/>
                          <w:color w:val="FFFFFF" w:themeColor="background1"/>
                          <w:sz w:val="16"/>
                          <w:szCs w:val="16"/>
                        </w:rPr>
                        <w:t xml:space="preserve">Proposals should situate the research within the existing evidence base and explain its potential contributions including any new questions, novel methods, measures, or interventions. Note that reviewers come from different academic backgrounds, </w:t>
                      </w:r>
                      <w:r w:rsidR="00076539">
                        <w:rPr>
                          <w:rFonts w:ascii="Garamond" w:hAnsi="Garamond"/>
                          <w:b/>
                          <w:bCs/>
                          <w:color w:val="FFFFFF" w:themeColor="background1"/>
                          <w:sz w:val="16"/>
                          <w:szCs w:val="16"/>
                        </w:rPr>
                        <w:t xml:space="preserve">so </w:t>
                      </w:r>
                      <w:r w:rsidRPr="00FE39FE">
                        <w:rPr>
                          <w:rFonts w:ascii="Garamond" w:hAnsi="Garamond"/>
                          <w:b/>
                          <w:bCs/>
                          <w:color w:val="FFFFFF" w:themeColor="background1"/>
                          <w:sz w:val="16"/>
                          <w:szCs w:val="16"/>
                        </w:rPr>
                        <w:t>the discussion of the evidence base should be explicit. </w:t>
                      </w:r>
                    </w:p>
                    <w:p w14:paraId="56ABA41D" w14:textId="77777777" w:rsidR="00FE39FE" w:rsidRPr="00FE39FE" w:rsidRDefault="00FE39FE" w:rsidP="00FE39FE">
                      <w:pPr>
                        <w:rPr>
                          <w:rFonts w:ascii="Garamond" w:hAnsi="Garamond"/>
                          <w:b/>
                          <w:bCs/>
                          <w:color w:val="FFFFFF" w:themeColor="background1"/>
                          <w:sz w:val="16"/>
                          <w:szCs w:val="16"/>
                        </w:rPr>
                      </w:pPr>
                    </w:p>
                    <w:p w14:paraId="26CD8A93" w14:textId="12C9BDBE" w:rsidR="00FE39FE" w:rsidRPr="00FE39FE" w:rsidRDefault="00FE39FE" w:rsidP="00FE39FE">
                      <w:pPr>
                        <w:rPr>
                          <w:rFonts w:ascii="Garamond" w:hAnsi="Garamond"/>
                          <w:b/>
                          <w:bCs/>
                          <w:color w:val="FFFFFF" w:themeColor="background1"/>
                          <w:sz w:val="16"/>
                          <w:szCs w:val="16"/>
                        </w:rPr>
                      </w:pPr>
                      <w:r w:rsidRPr="00FE39FE">
                        <w:rPr>
                          <w:rFonts w:ascii="Garamond" w:hAnsi="Garamond"/>
                          <w:b/>
                          <w:bCs/>
                          <w:color w:val="FFFFFF" w:themeColor="background1"/>
                          <w:sz w:val="16"/>
                          <w:szCs w:val="16"/>
                        </w:rPr>
                        <w:t xml:space="preserve">This proposal discusses prior RCT and quasi-experimental work on cash transfers, and outlines the unique </w:t>
                      </w:r>
                      <w:r w:rsidR="00076539">
                        <w:rPr>
                          <w:rFonts w:ascii="Garamond" w:hAnsi="Garamond"/>
                          <w:b/>
                          <w:bCs/>
                          <w:color w:val="FFFFFF" w:themeColor="background1"/>
                          <w:sz w:val="16"/>
                          <w:szCs w:val="16"/>
                        </w:rPr>
                        <w:t>contributions</w:t>
                      </w:r>
                      <w:r w:rsidRPr="00FE39FE">
                        <w:rPr>
                          <w:rFonts w:ascii="Garamond" w:hAnsi="Garamond"/>
                          <w:b/>
                          <w:bCs/>
                          <w:color w:val="FFFFFF" w:themeColor="background1"/>
                          <w:sz w:val="16"/>
                          <w:szCs w:val="16"/>
                        </w:rPr>
                        <w:t xml:space="preserve"> of the proposed research.</w:t>
                      </w:r>
                    </w:p>
                  </w:txbxContent>
                </v:textbox>
                <w10:wrap type="tight"/>
              </v:shape>
            </w:pict>
          </mc:Fallback>
        </mc:AlternateContent>
      </w:r>
      <w:r>
        <w:rPr>
          <w:rFonts w:ascii="Garamond" w:eastAsia="Garamond" w:hAnsi="Garamond" w:cs="Garamond"/>
          <w:color w:val="000000"/>
        </w:rPr>
        <w:t xml:space="preserve">Recent RCTs of cash transfer programs have found encouraging results, but have suffered from small sample sizes and/or small transfer amounts, which reduces statistical power and limits the strength of the results (Hoynes and Rothstein, 2019). The Stockton Economic Empowerment Demonstration (SEED), a widely cited cash transfer pilot, included only 200 participants (West et al., 2021). While their results on measures of income volatility and employment point in the right direction, they do not report the statistical significance of their findings. Yoo et al. (2022) in contrast had a larger sample of 1,000 low-income mothers, but included smaller payments of $333 per month for the treatment group. While they find some encouraging results including increased spending on child-specific goods and mothers’ early-learning activities with infants, they are unable to detect effects in their main outcomes: maternal use of alcohol, cigarettes, or opioids and household expenditures on alcohol or cigarettes. </w:t>
      </w:r>
    </w:p>
    <w:p w14:paraId="7586E6F9" w14:textId="609D9E79" w:rsidR="00BA3FBD" w:rsidRDefault="00000000">
      <w:pPr>
        <w:widowControl w:val="0"/>
        <w:pBdr>
          <w:top w:val="nil"/>
          <w:left w:val="nil"/>
          <w:bottom w:val="nil"/>
          <w:right w:val="nil"/>
          <w:between w:val="nil"/>
        </w:pBdr>
        <w:spacing w:before="4" w:line="224" w:lineRule="auto"/>
        <w:ind w:left="130" w:right="8" w:firstLine="730"/>
        <w:rPr>
          <w:rFonts w:ascii="Garamond" w:eastAsia="Garamond" w:hAnsi="Garamond" w:cs="Garamond"/>
          <w:color w:val="000000"/>
        </w:rPr>
      </w:pPr>
      <w:r>
        <w:rPr>
          <w:rFonts w:ascii="Garamond" w:eastAsia="Garamond" w:hAnsi="Garamond" w:cs="Garamond"/>
          <w:color w:val="000000"/>
        </w:rPr>
        <w:t xml:space="preserve">Our project has at least three unique aspects that will improve upon this literature. First, we plan to enroll a study sample of nearly 1,000 participants who are at high risk of homelessness, and provide a substantial cash transfer equal to about half the area median fair market rental rate. Given the relatively large sample and the size of the transfers for a vulnerable population, our study is designed to be able to detect meaningful decreases in the treated groups’ rate of returning to homelessness. Second, our study has the potential to inform the design of cash transfers programs, particularly whether such programs can be effective if targeted to individuals and families who are at risk of homelessness. Third, unlike prior studies, our central analysis will rely on a rich set of administrative data providing information on housing, financial, program participation, and employment outcomes. These data have advantages over survey data including being less susceptible to non-response bias and measurement error due to imperfect recall. </w:t>
      </w:r>
    </w:p>
    <w:p w14:paraId="5357C628" w14:textId="0F69F93C" w:rsidR="00BA3FBD" w:rsidRDefault="00000000">
      <w:pPr>
        <w:widowControl w:val="0"/>
        <w:pBdr>
          <w:top w:val="nil"/>
          <w:left w:val="nil"/>
          <w:bottom w:val="nil"/>
          <w:right w:val="nil"/>
          <w:between w:val="nil"/>
        </w:pBdr>
        <w:spacing w:before="280" w:line="240" w:lineRule="auto"/>
        <w:ind w:left="139"/>
        <w:rPr>
          <w:rFonts w:ascii="Garamond" w:eastAsia="Garamond" w:hAnsi="Garamond" w:cs="Garamond"/>
          <w:b/>
          <w:color w:val="000000"/>
        </w:rPr>
      </w:pPr>
      <w:r>
        <w:rPr>
          <w:rFonts w:ascii="Garamond" w:eastAsia="Garamond" w:hAnsi="Garamond" w:cs="Garamond"/>
          <w:b/>
          <w:color w:val="000000"/>
        </w:rPr>
        <w:t xml:space="preserve">C. Technical Design </w:t>
      </w:r>
    </w:p>
    <w:p w14:paraId="6959D55B" w14:textId="2E18C783" w:rsidR="00BA3FBD" w:rsidRDefault="00000000">
      <w:pPr>
        <w:widowControl w:val="0"/>
        <w:pBdr>
          <w:top w:val="nil"/>
          <w:left w:val="nil"/>
          <w:bottom w:val="nil"/>
          <w:right w:val="nil"/>
          <w:between w:val="nil"/>
        </w:pBdr>
        <w:spacing w:line="240" w:lineRule="auto"/>
        <w:ind w:left="139"/>
        <w:rPr>
          <w:rFonts w:ascii="Garamond" w:eastAsia="Garamond" w:hAnsi="Garamond" w:cs="Garamond"/>
          <w:b/>
          <w:color w:val="000000"/>
        </w:rPr>
      </w:pPr>
      <w:r>
        <w:rPr>
          <w:rFonts w:ascii="Garamond" w:eastAsia="Garamond" w:hAnsi="Garamond" w:cs="Garamond"/>
          <w:b/>
          <w:color w:val="000000"/>
          <w:highlight w:val="white"/>
        </w:rPr>
        <w:t>C1. Overview</w:t>
      </w:r>
      <w:r>
        <w:rPr>
          <w:rFonts w:ascii="Garamond" w:eastAsia="Garamond" w:hAnsi="Garamond" w:cs="Garamond"/>
          <w:b/>
          <w:color w:val="000000"/>
        </w:rPr>
        <w:t xml:space="preserve"> </w:t>
      </w:r>
    </w:p>
    <w:p w14:paraId="365AE252" w14:textId="07AAC2D6" w:rsidR="00BA3FBD" w:rsidRDefault="00FE39FE">
      <w:pPr>
        <w:widowControl w:val="0"/>
        <w:pBdr>
          <w:top w:val="nil"/>
          <w:left w:val="nil"/>
          <w:bottom w:val="nil"/>
          <w:right w:val="nil"/>
          <w:between w:val="nil"/>
        </w:pBdr>
        <w:spacing w:line="224" w:lineRule="auto"/>
        <w:ind w:left="127" w:right="145" w:firstLine="1"/>
        <w:rPr>
          <w:rFonts w:ascii="Garamond" w:eastAsia="Garamond" w:hAnsi="Garamond" w:cs="Garamond"/>
          <w:color w:val="000000"/>
        </w:rPr>
      </w:pPr>
      <w:r>
        <w:rPr>
          <w:rFonts w:ascii="Garamond" w:eastAsia="Garamond" w:hAnsi="Garamond" w:cs="Garamond"/>
          <w:b/>
          <w:noProof/>
          <w:color w:val="000000"/>
        </w:rPr>
        <mc:AlternateContent>
          <mc:Choice Requires="wps">
            <w:drawing>
              <wp:anchor distT="0" distB="0" distL="114300" distR="114300" simplePos="0" relativeHeight="251665408" behindDoc="1" locked="0" layoutInCell="1" allowOverlap="1" wp14:anchorId="5D7EC149" wp14:editId="679D522C">
                <wp:simplePos x="0" y="0"/>
                <wp:positionH relativeFrom="column">
                  <wp:posOffset>4571426</wp:posOffset>
                </wp:positionH>
                <wp:positionV relativeFrom="paragraph">
                  <wp:posOffset>13131</wp:posOffset>
                </wp:positionV>
                <wp:extent cx="1850390" cy="1570355"/>
                <wp:effectExtent l="0" t="0" r="3810" b="4445"/>
                <wp:wrapTight wrapText="bothSides">
                  <wp:wrapPolygon edited="0">
                    <wp:start x="0" y="0"/>
                    <wp:lineTo x="0" y="21486"/>
                    <wp:lineTo x="21496" y="21486"/>
                    <wp:lineTo x="21496" y="0"/>
                    <wp:lineTo x="0" y="0"/>
                  </wp:wrapPolygon>
                </wp:wrapTight>
                <wp:docPr id="1798294174" name="Text Box 1"/>
                <wp:cNvGraphicFramePr/>
                <a:graphic xmlns:a="http://schemas.openxmlformats.org/drawingml/2006/main">
                  <a:graphicData uri="http://schemas.microsoft.com/office/word/2010/wordprocessingShape">
                    <wps:wsp>
                      <wps:cNvSpPr txBox="1"/>
                      <wps:spPr>
                        <a:xfrm>
                          <a:off x="0" y="0"/>
                          <a:ext cx="1850390" cy="1570355"/>
                        </a:xfrm>
                        <a:prstGeom prst="rect">
                          <a:avLst/>
                        </a:prstGeom>
                        <a:solidFill>
                          <a:srgbClr val="E35925"/>
                        </a:solidFill>
                        <a:ln w="6350">
                          <a:noFill/>
                        </a:ln>
                      </wps:spPr>
                      <wps:txbx>
                        <w:txbxContent>
                          <w:p w14:paraId="47AF457C" w14:textId="77777777" w:rsidR="00FE39FE" w:rsidRPr="00FE39FE" w:rsidRDefault="00FE39FE" w:rsidP="00FE39FE">
                            <w:pPr>
                              <w:rPr>
                                <w:rFonts w:ascii="Garamond" w:hAnsi="Garamond"/>
                                <w:b/>
                                <w:bCs/>
                                <w:color w:val="FFFFFF" w:themeColor="background1"/>
                                <w:sz w:val="16"/>
                                <w:szCs w:val="16"/>
                              </w:rPr>
                            </w:pPr>
                            <w:r w:rsidRPr="00FE39FE">
                              <w:rPr>
                                <w:rFonts w:ascii="Garamond" w:hAnsi="Garamond"/>
                                <w:b/>
                                <w:bCs/>
                                <w:color w:val="FFFFFF" w:themeColor="background1"/>
                                <w:sz w:val="16"/>
                                <w:szCs w:val="16"/>
                              </w:rPr>
                              <w:t>This section provides a clear statement of the primary research question, secondary outcomes, and a realistic plan for implementation. The inclusion of a detailed timeline for key activities (enrollment, transfers, reporting) demonstrates strong attention to feasibility and planning. Strong proposals should specify when and how outcomes will be measured and when results will be disseminated.</w:t>
                            </w:r>
                          </w:p>
                          <w:p w14:paraId="7F365DA6" w14:textId="4CA3EC5B" w:rsidR="00FE39FE" w:rsidRPr="00FE39FE" w:rsidRDefault="00FE39FE" w:rsidP="00FE39FE">
                            <w:pPr>
                              <w:rPr>
                                <w:rFonts w:ascii="Garamond" w:hAnsi="Garamond"/>
                                <w:b/>
                                <w:bCs/>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EC149" id="_x0000_s1029" type="#_x0000_t202" style="position:absolute;left:0;text-align:left;margin-left:359.95pt;margin-top:1.05pt;width:145.7pt;height:123.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" fillcolor="#e35925" stroked="f" strokeweight=".5pt">
                <v:textbox>
                  <w:txbxContent>
                    <w:p w14:paraId="47AF457C" w14:textId="77777777" w:rsidR="00FE39FE" w:rsidRPr="00FE39FE" w:rsidRDefault="00FE39FE" w:rsidP="00FE39FE">
                      <w:pPr>
                        <w:rPr>
                          <w:rFonts w:ascii="Garamond" w:hAnsi="Garamond"/>
                          <w:b/>
                          <w:bCs/>
                          <w:color w:val="FFFFFF" w:themeColor="background1"/>
                          <w:sz w:val="16"/>
                          <w:szCs w:val="16"/>
                        </w:rPr>
                      </w:pPr>
                      <w:r w:rsidRPr="00FE39FE">
                        <w:rPr>
                          <w:rFonts w:ascii="Garamond" w:hAnsi="Garamond"/>
                          <w:b/>
                          <w:bCs/>
                          <w:color w:val="FFFFFF" w:themeColor="background1"/>
                          <w:sz w:val="16"/>
                          <w:szCs w:val="16"/>
                        </w:rPr>
                        <w:t>This section provides a clear statement of the primary research question, secondary outcomes, and a realistic plan for implementation. The inclusion of a detailed timeline for key activities (enrollment, transfers, reporting) demonstrates strong attention to feasibility and planning. Strong proposals should specify when and how outcomes will be measured and when results will be disseminated.</w:t>
                      </w:r>
                    </w:p>
                    <w:p w14:paraId="7F365DA6" w14:textId="4CA3EC5B" w:rsidR="00FE39FE" w:rsidRPr="00FE39FE" w:rsidRDefault="00FE39FE" w:rsidP="00FE39FE">
                      <w:pPr>
                        <w:rPr>
                          <w:rFonts w:ascii="Garamond" w:hAnsi="Garamond"/>
                          <w:b/>
                          <w:bCs/>
                          <w:color w:val="FFFFFF" w:themeColor="background1"/>
                          <w:sz w:val="16"/>
                          <w:szCs w:val="16"/>
                        </w:rPr>
                      </w:pPr>
                    </w:p>
                  </w:txbxContent>
                </v:textbox>
                <w10:wrap type="tight"/>
              </v:shape>
            </w:pict>
          </mc:Fallback>
        </mc:AlternateContent>
      </w:r>
      <w:r>
        <w:rPr>
          <w:rFonts w:ascii="Garamond" w:eastAsia="Garamond" w:hAnsi="Garamond" w:cs="Garamond"/>
          <w:color w:val="000000"/>
        </w:rPr>
        <w:t>T</w:t>
      </w:r>
      <w:r>
        <w:rPr>
          <w:rFonts w:ascii="Garamond" w:eastAsia="Garamond" w:hAnsi="Garamond" w:cs="Garamond"/>
          <w:color w:val="000000"/>
          <w:highlight w:val="white"/>
        </w:rPr>
        <w:t>he research team and Abode Services are studying the impact of randomly giving $13,000-$16,000 in</w:t>
      </w:r>
      <w:r>
        <w:rPr>
          <w:rFonts w:ascii="Garamond" w:eastAsia="Garamond" w:hAnsi="Garamond" w:cs="Garamond"/>
          <w:color w:val="000000"/>
        </w:rPr>
        <w:t xml:space="preserve"> </w:t>
      </w:r>
      <w:r>
        <w:rPr>
          <w:rFonts w:ascii="Garamond" w:eastAsia="Garamond" w:hAnsi="Garamond" w:cs="Garamond"/>
          <w:color w:val="000000"/>
          <w:highlight w:val="white"/>
        </w:rPr>
        <w:t>monthly installments to individuals for the year after they exit RRH. Our primary research question is: Do</w:t>
      </w:r>
      <w:r>
        <w:rPr>
          <w:rFonts w:ascii="Garamond" w:eastAsia="Garamond" w:hAnsi="Garamond" w:cs="Garamond"/>
          <w:color w:val="000000"/>
        </w:rPr>
        <w:t xml:space="preserve"> </w:t>
      </w:r>
      <w:r>
        <w:rPr>
          <w:rFonts w:ascii="Garamond" w:eastAsia="Garamond" w:hAnsi="Garamond" w:cs="Garamond"/>
          <w:color w:val="000000"/>
          <w:highlight w:val="white"/>
        </w:rPr>
        <w:t>cash transfers reduce returns to homelessness? In addition, we will examine other outcomes that reflect</w:t>
      </w:r>
      <w:r>
        <w:rPr>
          <w:rFonts w:ascii="Garamond" w:eastAsia="Garamond" w:hAnsi="Garamond" w:cs="Garamond"/>
          <w:color w:val="000000"/>
        </w:rPr>
        <w:t xml:space="preserve"> w</w:t>
      </w:r>
      <w:r>
        <w:rPr>
          <w:rFonts w:ascii="Garamond" w:eastAsia="Garamond" w:hAnsi="Garamond" w:cs="Garamond"/>
          <w:color w:val="000000"/>
          <w:highlight w:val="white"/>
        </w:rPr>
        <w:t>ell-being or potential benefits of the intervention. Table 1 provides a summary of the research timeline and</w:t>
      </w:r>
      <w:r>
        <w:rPr>
          <w:rFonts w:ascii="Garamond" w:eastAsia="Garamond" w:hAnsi="Garamond" w:cs="Garamond"/>
          <w:color w:val="000000"/>
        </w:rPr>
        <w:t xml:space="preserve"> </w:t>
      </w:r>
      <w:r>
        <w:rPr>
          <w:rFonts w:ascii="Garamond" w:eastAsia="Garamond" w:hAnsi="Garamond" w:cs="Garamond"/>
          <w:color w:val="000000"/>
          <w:highlight w:val="white"/>
        </w:rPr>
        <w:t>activities through the end of 2025. For the interim report, we plan to provide results for homelessness,</w:t>
      </w:r>
      <w:r>
        <w:rPr>
          <w:rFonts w:ascii="Garamond" w:eastAsia="Garamond" w:hAnsi="Garamond" w:cs="Garamond"/>
          <w:color w:val="000000"/>
        </w:rPr>
        <w:t xml:space="preserve"> </w:t>
      </w:r>
      <w:r>
        <w:rPr>
          <w:rFonts w:ascii="Garamond" w:eastAsia="Garamond" w:hAnsi="Garamond" w:cs="Garamond"/>
          <w:color w:val="000000"/>
          <w:highlight w:val="white"/>
        </w:rPr>
        <w:t>housing stability, and financial security. We expect to complete a 12-month report for the full sample in the</w:t>
      </w:r>
      <w:r>
        <w:rPr>
          <w:rFonts w:ascii="Garamond" w:eastAsia="Garamond" w:hAnsi="Garamond" w:cs="Garamond"/>
          <w:color w:val="000000"/>
        </w:rPr>
        <w:t xml:space="preserve"> </w:t>
      </w:r>
      <w:r>
        <w:rPr>
          <w:rFonts w:ascii="Garamond" w:eastAsia="Garamond" w:hAnsi="Garamond" w:cs="Garamond"/>
          <w:color w:val="000000"/>
          <w:highlight w:val="white"/>
        </w:rPr>
        <w:t>second quarter of 2026, and a final report for the completed study that includes results for all outcomes (as</w:t>
      </w:r>
      <w:r>
        <w:rPr>
          <w:rFonts w:ascii="Garamond" w:eastAsia="Garamond" w:hAnsi="Garamond" w:cs="Garamond"/>
          <w:color w:val="000000"/>
        </w:rPr>
        <w:t xml:space="preserve"> </w:t>
      </w:r>
      <w:r>
        <w:rPr>
          <w:rFonts w:ascii="Garamond" w:eastAsia="Garamond" w:hAnsi="Garamond" w:cs="Garamond"/>
          <w:color w:val="000000"/>
          <w:highlight w:val="white"/>
        </w:rPr>
        <w:t>noted below), measured at 12 and 24 months after enrollment, by the first quarter of 2027.</w:t>
      </w:r>
      <w:r>
        <w:rPr>
          <w:rFonts w:ascii="Garamond" w:eastAsia="Garamond" w:hAnsi="Garamond" w:cs="Garamond"/>
          <w:color w:val="000000"/>
        </w:rPr>
        <w:t xml:space="preserve"> </w:t>
      </w:r>
    </w:p>
    <w:p w14:paraId="57A92A98" w14:textId="77777777" w:rsidR="00BA3FBD" w:rsidRDefault="00000000">
      <w:pPr>
        <w:widowControl w:val="0"/>
        <w:pBdr>
          <w:top w:val="nil"/>
          <w:left w:val="nil"/>
          <w:bottom w:val="nil"/>
          <w:right w:val="nil"/>
          <w:between w:val="nil"/>
        </w:pBdr>
        <w:spacing w:before="280" w:line="240" w:lineRule="auto"/>
        <w:ind w:left="129"/>
        <w:rPr>
          <w:rFonts w:ascii="Garamond" w:eastAsia="Garamond" w:hAnsi="Garamond" w:cs="Garamond"/>
          <w:color w:val="000000"/>
        </w:rPr>
      </w:pPr>
      <w:r>
        <w:rPr>
          <w:rFonts w:ascii="Garamond" w:eastAsia="Garamond" w:hAnsi="Garamond" w:cs="Garamond"/>
          <w:color w:val="000000"/>
        </w:rPr>
        <w:t xml:space="preserve">Table 1: Research Timeline </w:t>
      </w:r>
    </w:p>
    <w:tbl>
      <w:tblPr>
        <w:tblStyle w:val="a"/>
        <w:tblW w:w="94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61"/>
        <w:gridCol w:w="600"/>
        <w:gridCol w:w="480"/>
        <w:gridCol w:w="480"/>
        <w:gridCol w:w="480"/>
        <w:gridCol w:w="480"/>
        <w:gridCol w:w="480"/>
        <w:gridCol w:w="480"/>
        <w:gridCol w:w="480"/>
        <w:gridCol w:w="480"/>
        <w:gridCol w:w="480"/>
        <w:gridCol w:w="480"/>
        <w:gridCol w:w="479"/>
        <w:gridCol w:w="480"/>
      </w:tblGrid>
      <w:tr w:rsidR="00BA3FBD" w14:paraId="1B475E08" w14:textId="77777777">
        <w:trPr>
          <w:trHeight w:val="720"/>
        </w:trPr>
        <w:tc>
          <w:tcPr>
            <w:tcW w:w="3060" w:type="dxa"/>
            <w:tcMar>
              <w:top w:w="100" w:type="dxa"/>
              <w:left w:w="100" w:type="dxa"/>
              <w:bottom w:w="100" w:type="dxa"/>
              <w:right w:w="100" w:type="dxa"/>
            </w:tcMar>
          </w:tcPr>
          <w:p w14:paraId="0FD3FC03" w14:textId="77777777" w:rsidR="00BA3FBD" w:rsidRDefault="00000000">
            <w:pPr>
              <w:widowControl w:val="0"/>
              <w:pBdr>
                <w:top w:val="nil"/>
                <w:left w:val="nil"/>
                <w:bottom w:val="nil"/>
                <w:right w:val="nil"/>
                <w:between w:val="nil"/>
              </w:pBdr>
              <w:spacing w:line="240" w:lineRule="auto"/>
              <w:ind w:left="129"/>
              <w:rPr>
                <w:rFonts w:ascii="Garamond" w:eastAsia="Garamond" w:hAnsi="Garamond" w:cs="Garamond"/>
                <w:color w:val="000000"/>
              </w:rPr>
            </w:pPr>
            <w:r>
              <w:rPr>
                <w:rFonts w:ascii="Garamond" w:eastAsia="Garamond" w:hAnsi="Garamond" w:cs="Garamond"/>
                <w:color w:val="000000"/>
              </w:rPr>
              <w:t xml:space="preserve">Timeline (October </w:t>
            </w:r>
          </w:p>
          <w:p w14:paraId="5277BD0E" w14:textId="77777777" w:rsidR="00BA3FBD" w:rsidRDefault="00000000">
            <w:pPr>
              <w:widowControl w:val="0"/>
              <w:pBdr>
                <w:top w:val="nil"/>
                <w:left w:val="nil"/>
                <w:bottom w:val="nil"/>
                <w:right w:val="nil"/>
                <w:between w:val="nil"/>
              </w:pBdr>
              <w:spacing w:line="240" w:lineRule="auto"/>
              <w:ind w:left="134"/>
              <w:rPr>
                <w:rFonts w:ascii="Garamond" w:eastAsia="Garamond" w:hAnsi="Garamond" w:cs="Garamond"/>
                <w:color w:val="000000"/>
              </w:rPr>
            </w:pPr>
            <w:r>
              <w:rPr>
                <w:rFonts w:ascii="Garamond" w:eastAsia="Garamond" w:hAnsi="Garamond" w:cs="Garamond"/>
                <w:color w:val="000000"/>
              </w:rPr>
              <w:t>2022-December 2025)</w:t>
            </w:r>
          </w:p>
        </w:tc>
        <w:tc>
          <w:tcPr>
            <w:tcW w:w="600" w:type="dxa"/>
            <w:tcMar>
              <w:top w:w="100" w:type="dxa"/>
              <w:left w:w="100" w:type="dxa"/>
              <w:bottom w:w="100" w:type="dxa"/>
              <w:right w:w="100" w:type="dxa"/>
            </w:tcMar>
          </w:tcPr>
          <w:p w14:paraId="569CA43E"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 xml:space="preserve">202 </w:t>
            </w:r>
          </w:p>
          <w:p w14:paraId="5255B66A"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2</w:t>
            </w:r>
          </w:p>
        </w:tc>
        <w:tc>
          <w:tcPr>
            <w:tcW w:w="1920" w:type="dxa"/>
            <w:gridSpan w:val="4"/>
            <w:tcMar>
              <w:top w:w="100" w:type="dxa"/>
              <w:left w:w="100" w:type="dxa"/>
              <w:bottom w:w="100" w:type="dxa"/>
              <w:right w:w="100" w:type="dxa"/>
            </w:tcMar>
          </w:tcPr>
          <w:p w14:paraId="3D43DCD2" w14:textId="77777777" w:rsidR="00BA3FBD" w:rsidRDefault="00000000">
            <w:pPr>
              <w:widowControl w:val="0"/>
              <w:pBdr>
                <w:top w:val="nil"/>
                <w:left w:val="nil"/>
                <w:bottom w:val="nil"/>
                <w:right w:val="nil"/>
                <w:between w:val="nil"/>
              </w:pBdr>
              <w:spacing w:line="240" w:lineRule="auto"/>
              <w:ind w:right="694"/>
              <w:jc w:val="right"/>
              <w:rPr>
                <w:rFonts w:ascii="Garamond" w:eastAsia="Garamond" w:hAnsi="Garamond" w:cs="Garamond"/>
                <w:color w:val="000000"/>
              </w:rPr>
            </w:pPr>
            <w:r>
              <w:rPr>
                <w:rFonts w:ascii="Garamond" w:eastAsia="Garamond" w:hAnsi="Garamond" w:cs="Garamond"/>
                <w:color w:val="000000"/>
              </w:rPr>
              <w:t xml:space="preserve">2023 </w:t>
            </w:r>
          </w:p>
        </w:tc>
        <w:tc>
          <w:tcPr>
            <w:tcW w:w="1920" w:type="dxa"/>
            <w:gridSpan w:val="4"/>
            <w:tcMar>
              <w:top w:w="100" w:type="dxa"/>
              <w:left w:w="100" w:type="dxa"/>
              <w:bottom w:w="100" w:type="dxa"/>
              <w:right w:w="100" w:type="dxa"/>
            </w:tcMar>
          </w:tcPr>
          <w:p w14:paraId="6F7B35BC" w14:textId="77777777" w:rsidR="00BA3FBD" w:rsidRDefault="00000000">
            <w:pPr>
              <w:widowControl w:val="0"/>
              <w:pBdr>
                <w:top w:val="nil"/>
                <w:left w:val="nil"/>
                <w:bottom w:val="nil"/>
                <w:right w:val="nil"/>
                <w:between w:val="nil"/>
              </w:pBdr>
              <w:spacing w:line="240" w:lineRule="auto"/>
              <w:ind w:right="694"/>
              <w:jc w:val="right"/>
              <w:rPr>
                <w:rFonts w:ascii="Garamond" w:eastAsia="Garamond" w:hAnsi="Garamond" w:cs="Garamond"/>
                <w:color w:val="000000"/>
              </w:rPr>
            </w:pPr>
            <w:r>
              <w:rPr>
                <w:rFonts w:ascii="Garamond" w:eastAsia="Garamond" w:hAnsi="Garamond" w:cs="Garamond"/>
                <w:color w:val="000000"/>
              </w:rPr>
              <w:t xml:space="preserve">2024 </w:t>
            </w:r>
          </w:p>
        </w:tc>
        <w:tc>
          <w:tcPr>
            <w:tcW w:w="1919" w:type="dxa"/>
            <w:gridSpan w:val="4"/>
            <w:tcMar>
              <w:top w:w="100" w:type="dxa"/>
              <w:left w:w="100" w:type="dxa"/>
              <w:bottom w:w="100" w:type="dxa"/>
              <w:right w:w="100" w:type="dxa"/>
            </w:tcMar>
          </w:tcPr>
          <w:p w14:paraId="64C95825"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2025</w:t>
            </w:r>
          </w:p>
        </w:tc>
      </w:tr>
      <w:tr w:rsidR="00BA3FBD" w14:paraId="5CD555DC" w14:textId="77777777">
        <w:trPr>
          <w:trHeight w:val="720"/>
        </w:trPr>
        <w:tc>
          <w:tcPr>
            <w:tcW w:w="3060" w:type="dxa"/>
            <w:tcMar>
              <w:top w:w="100" w:type="dxa"/>
              <w:left w:w="100" w:type="dxa"/>
              <w:bottom w:w="100" w:type="dxa"/>
              <w:right w:w="100" w:type="dxa"/>
            </w:tcMar>
          </w:tcPr>
          <w:p w14:paraId="1BEF238A"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600" w:type="dxa"/>
            <w:tcMar>
              <w:top w:w="100" w:type="dxa"/>
              <w:left w:w="100" w:type="dxa"/>
              <w:bottom w:w="100" w:type="dxa"/>
              <w:right w:w="100" w:type="dxa"/>
            </w:tcMar>
          </w:tcPr>
          <w:p w14:paraId="40331550"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 xml:space="preserve">Q4 </w:t>
            </w:r>
          </w:p>
        </w:tc>
        <w:tc>
          <w:tcPr>
            <w:tcW w:w="480" w:type="dxa"/>
            <w:tcMar>
              <w:top w:w="100" w:type="dxa"/>
              <w:left w:w="100" w:type="dxa"/>
              <w:bottom w:w="100" w:type="dxa"/>
              <w:right w:w="100" w:type="dxa"/>
            </w:tcMar>
          </w:tcPr>
          <w:p w14:paraId="02C5700A"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 xml:space="preserve">Q </w:t>
            </w:r>
          </w:p>
          <w:p w14:paraId="6B67D82B" w14:textId="77777777" w:rsidR="00BA3FBD" w:rsidRDefault="00000000">
            <w:pPr>
              <w:widowControl w:val="0"/>
              <w:pBdr>
                <w:top w:val="nil"/>
                <w:left w:val="nil"/>
                <w:bottom w:val="nil"/>
                <w:right w:val="nil"/>
                <w:between w:val="nil"/>
              </w:pBdr>
              <w:spacing w:line="240" w:lineRule="auto"/>
              <w:ind w:left="146"/>
              <w:rPr>
                <w:rFonts w:ascii="Garamond" w:eastAsia="Garamond" w:hAnsi="Garamond" w:cs="Garamond"/>
                <w:color w:val="000000"/>
              </w:rPr>
            </w:pPr>
            <w:r>
              <w:rPr>
                <w:rFonts w:ascii="Garamond" w:eastAsia="Garamond" w:hAnsi="Garamond" w:cs="Garamond"/>
                <w:color w:val="000000"/>
              </w:rPr>
              <w:t>1</w:t>
            </w:r>
          </w:p>
        </w:tc>
        <w:tc>
          <w:tcPr>
            <w:tcW w:w="480" w:type="dxa"/>
            <w:tcMar>
              <w:top w:w="100" w:type="dxa"/>
              <w:left w:w="100" w:type="dxa"/>
              <w:bottom w:w="100" w:type="dxa"/>
              <w:right w:w="100" w:type="dxa"/>
            </w:tcMar>
          </w:tcPr>
          <w:p w14:paraId="09DCCDBB"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 xml:space="preserve">Q </w:t>
            </w:r>
          </w:p>
          <w:p w14:paraId="76CD3CBF" w14:textId="77777777" w:rsidR="00BA3FBD" w:rsidRDefault="00000000">
            <w:pPr>
              <w:widowControl w:val="0"/>
              <w:pBdr>
                <w:top w:val="nil"/>
                <w:left w:val="nil"/>
                <w:bottom w:val="nil"/>
                <w:right w:val="nil"/>
                <w:between w:val="nil"/>
              </w:pBdr>
              <w:spacing w:line="240" w:lineRule="auto"/>
              <w:ind w:left="134"/>
              <w:rPr>
                <w:rFonts w:ascii="Garamond" w:eastAsia="Garamond" w:hAnsi="Garamond" w:cs="Garamond"/>
                <w:color w:val="000000"/>
              </w:rPr>
            </w:pPr>
            <w:r>
              <w:rPr>
                <w:rFonts w:ascii="Garamond" w:eastAsia="Garamond" w:hAnsi="Garamond" w:cs="Garamond"/>
                <w:color w:val="000000"/>
              </w:rPr>
              <w:t>2</w:t>
            </w:r>
          </w:p>
        </w:tc>
        <w:tc>
          <w:tcPr>
            <w:tcW w:w="480" w:type="dxa"/>
            <w:tcMar>
              <w:top w:w="100" w:type="dxa"/>
              <w:left w:w="100" w:type="dxa"/>
              <w:bottom w:w="100" w:type="dxa"/>
              <w:right w:w="100" w:type="dxa"/>
            </w:tcMar>
          </w:tcPr>
          <w:p w14:paraId="3AA065F8"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 xml:space="preserve">Q </w:t>
            </w:r>
          </w:p>
          <w:p w14:paraId="3674BB3A" w14:textId="77777777" w:rsidR="00BA3FBD" w:rsidRDefault="00000000">
            <w:pPr>
              <w:widowControl w:val="0"/>
              <w:pBdr>
                <w:top w:val="nil"/>
                <w:left w:val="nil"/>
                <w:bottom w:val="nil"/>
                <w:right w:val="nil"/>
                <w:between w:val="nil"/>
              </w:pBdr>
              <w:spacing w:line="240" w:lineRule="auto"/>
              <w:ind w:left="138"/>
              <w:rPr>
                <w:rFonts w:ascii="Garamond" w:eastAsia="Garamond" w:hAnsi="Garamond" w:cs="Garamond"/>
                <w:color w:val="000000"/>
              </w:rPr>
            </w:pPr>
            <w:r>
              <w:rPr>
                <w:rFonts w:ascii="Garamond" w:eastAsia="Garamond" w:hAnsi="Garamond" w:cs="Garamond"/>
                <w:color w:val="000000"/>
              </w:rPr>
              <w:t>3</w:t>
            </w:r>
          </w:p>
        </w:tc>
        <w:tc>
          <w:tcPr>
            <w:tcW w:w="480" w:type="dxa"/>
            <w:tcMar>
              <w:top w:w="100" w:type="dxa"/>
              <w:left w:w="100" w:type="dxa"/>
              <w:bottom w:w="100" w:type="dxa"/>
              <w:right w:w="100" w:type="dxa"/>
            </w:tcMar>
          </w:tcPr>
          <w:p w14:paraId="373F7BA2"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 xml:space="preserve">Q </w:t>
            </w:r>
          </w:p>
          <w:p w14:paraId="1976CE58" w14:textId="77777777" w:rsidR="00BA3FBD" w:rsidRDefault="00000000">
            <w:pPr>
              <w:widowControl w:val="0"/>
              <w:pBdr>
                <w:top w:val="nil"/>
                <w:left w:val="nil"/>
                <w:bottom w:val="nil"/>
                <w:right w:val="nil"/>
                <w:between w:val="nil"/>
              </w:pBdr>
              <w:spacing w:line="240" w:lineRule="auto"/>
              <w:ind w:left="135"/>
              <w:rPr>
                <w:rFonts w:ascii="Garamond" w:eastAsia="Garamond" w:hAnsi="Garamond" w:cs="Garamond"/>
                <w:color w:val="000000"/>
              </w:rPr>
            </w:pPr>
            <w:r>
              <w:rPr>
                <w:rFonts w:ascii="Garamond" w:eastAsia="Garamond" w:hAnsi="Garamond" w:cs="Garamond"/>
                <w:color w:val="000000"/>
              </w:rPr>
              <w:t>4</w:t>
            </w:r>
          </w:p>
        </w:tc>
        <w:tc>
          <w:tcPr>
            <w:tcW w:w="480" w:type="dxa"/>
            <w:tcMar>
              <w:top w:w="100" w:type="dxa"/>
              <w:left w:w="100" w:type="dxa"/>
              <w:bottom w:w="100" w:type="dxa"/>
              <w:right w:w="100" w:type="dxa"/>
            </w:tcMar>
          </w:tcPr>
          <w:p w14:paraId="7DD6CD4C"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 xml:space="preserve">Q </w:t>
            </w:r>
          </w:p>
          <w:p w14:paraId="348ED9D1" w14:textId="77777777" w:rsidR="00BA3FBD" w:rsidRDefault="00000000">
            <w:pPr>
              <w:widowControl w:val="0"/>
              <w:pBdr>
                <w:top w:val="nil"/>
                <w:left w:val="nil"/>
                <w:bottom w:val="nil"/>
                <w:right w:val="nil"/>
                <w:between w:val="nil"/>
              </w:pBdr>
              <w:spacing w:line="240" w:lineRule="auto"/>
              <w:ind w:left="146"/>
              <w:rPr>
                <w:rFonts w:ascii="Garamond" w:eastAsia="Garamond" w:hAnsi="Garamond" w:cs="Garamond"/>
                <w:color w:val="000000"/>
              </w:rPr>
            </w:pPr>
            <w:r>
              <w:rPr>
                <w:rFonts w:ascii="Garamond" w:eastAsia="Garamond" w:hAnsi="Garamond" w:cs="Garamond"/>
                <w:color w:val="000000"/>
              </w:rPr>
              <w:t>1</w:t>
            </w:r>
          </w:p>
        </w:tc>
        <w:tc>
          <w:tcPr>
            <w:tcW w:w="480" w:type="dxa"/>
            <w:tcMar>
              <w:top w:w="100" w:type="dxa"/>
              <w:left w:w="100" w:type="dxa"/>
              <w:bottom w:w="100" w:type="dxa"/>
              <w:right w:w="100" w:type="dxa"/>
            </w:tcMar>
          </w:tcPr>
          <w:p w14:paraId="6746EE7B"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 xml:space="preserve">Q </w:t>
            </w:r>
          </w:p>
          <w:p w14:paraId="2737D06F" w14:textId="77777777" w:rsidR="00BA3FBD" w:rsidRDefault="00000000">
            <w:pPr>
              <w:widowControl w:val="0"/>
              <w:pBdr>
                <w:top w:val="nil"/>
                <w:left w:val="nil"/>
                <w:bottom w:val="nil"/>
                <w:right w:val="nil"/>
                <w:between w:val="nil"/>
              </w:pBdr>
              <w:spacing w:line="240" w:lineRule="auto"/>
              <w:ind w:left="134"/>
              <w:rPr>
                <w:rFonts w:ascii="Garamond" w:eastAsia="Garamond" w:hAnsi="Garamond" w:cs="Garamond"/>
                <w:color w:val="000000"/>
              </w:rPr>
            </w:pPr>
            <w:r>
              <w:rPr>
                <w:rFonts w:ascii="Garamond" w:eastAsia="Garamond" w:hAnsi="Garamond" w:cs="Garamond"/>
                <w:color w:val="000000"/>
              </w:rPr>
              <w:t>2</w:t>
            </w:r>
          </w:p>
        </w:tc>
        <w:tc>
          <w:tcPr>
            <w:tcW w:w="480" w:type="dxa"/>
            <w:tcMar>
              <w:top w:w="100" w:type="dxa"/>
              <w:left w:w="100" w:type="dxa"/>
              <w:bottom w:w="100" w:type="dxa"/>
              <w:right w:w="100" w:type="dxa"/>
            </w:tcMar>
          </w:tcPr>
          <w:p w14:paraId="2343ED72"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 xml:space="preserve">Q </w:t>
            </w:r>
          </w:p>
          <w:p w14:paraId="7FF8EDF3" w14:textId="77777777" w:rsidR="00BA3FBD" w:rsidRDefault="00000000">
            <w:pPr>
              <w:widowControl w:val="0"/>
              <w:pBdr>
                <w:top w:val="nil"/>
                <w:left w:val="nil"/>
                <w:bottom w:val="nil"/>
                <w:right w:val="nil"/>
                <w:between w:val="nil"/>
              </w:pBdr>
              <w:spacing w:line="240" w:lineRule="auto"/>
              <w:ind w:left="138"/>
              <w:rPr>
                <w:rFonts w:ascii="Garamond" w:eastAsia="Garamond" w:hAnsi="Garamond" w:cs="Garamond"/>
                <w:color w:val="000000"/>
              </w:rPr>
            </w:pPr>
            <w:r>
              <w:rPr>
                <w:rFonts w:ascii="Garamond" w:eastAsia="Garamond" w:hAnsi="Garamond" w:cs="Garamond"/>
                <w:color w:val="000000"/>
              </w:rPr>
              <w:t>3</w:t>
            </w:r>
          </w:p>
        </w:tc>
        <w:tc>
          <w:tcPr>
            <w:tcW w:w="480" w:type="dxa"/>
            <w:tcMar>
              <w:top w:w="100" w:type="dxa"/>
              <w:left w:w="100" w:type="dxa"/>
              <w:bottom w:w="100" w:type="dxa"/>
              <w:right w:w="100" w:type="dxa"/>
            </w:tcMar>
          </w:tcPr>
          <w:p w14:paraId="0BCD84AF"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 xml:space="preserve">Q </w:t>
            </w:r>
          </w:p>
          <w:p w14:paraId="6667D55C" w14:textId="77777777" w:rsidR="00BA3FBD" w:rsidRDefault="00000000">
            <w:pPr>
              <w:widowControl w:val="0"/>
              <w:pBdr>
                <w:top w:val="nil"/>
                <w:left w:val="nil"/>
                <w:bottom w:val="nil"/>
                <w:right w:val="nil"/>
                <w:between w:val="nil"/>
              </w:pBdr>
              <w:spacing w:line="240" w:lineRule="auto"/>
              <w:ind w:left="135"/>
              <w:rPr>
                <w:rFonts w:ascii="Garamond" w:eastAsia="Garamond" w:hAnsi="Garamond" w:cs="Garamond"/>
                <w:color w:val="000000"/>
              </w:rPr>
            </w:pPr>
            <w:r>
              <w:rPr>
                <w:rFonts w:ascii="Garamond" w:eastAsia="Garamond" w:hAnsi="Garamond" w:cs="Garamond"/>
                <w:color w:val="000000"/>
              </w:rPr>
              <w:t>4</w:t>
            </w:r>
          </w:p>
        </w:tc>
        <w:tc>
          <w:tcPr>
            <w:tcW w:w="480" w:type="dxa"/>
            <w:tcMar>
              <w:top w:w="100" w:type="dxa"/>
              <w:left w:w="100" w:type="dxa"/>
              <w:bottom w:w="100" w:type="dxa"/>
              <w:right w:w="100" w:type="dxa"/>
            </w:tcMar>
          </w:tcPr>
          <w:p w14:paraId="38711592"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 xml:space="preserve">Q </w:t>
            </w:r>
          </w:p>
          <w:p w14:paraId="65555223" w14:textId="77777777" w:rsidR="00BA3FBD" w:rsidRDefault="00000000">
            <w:pPr>
              <w:widowControl w:val="0"/>
              <w:pBdr>
                <w:top w:val="nil"/>
                <w:left w:val="nil"/>
                <w:bottom w:val="nil"/>
                <w:right w:val="nil"/>
                <w:between w:val="nil"/>
              </w:pBdr>
              <w:spacing w:line="240" w:lineRule="auto"/>
              <w:ind w:left="146"/>
              <w:rPr>
                <w:rFonts w:ascii="Garamond" w:eastAsia="Garamond" w:hAnsi="Garamond" w:cs="Garamond"/>
                <w:color w:val="000000"/>
              </w:rPr>
            </w:pPr>
            <w:r>
              <w:rPr>
                <w:rFonts w:ascii="Garamond" w:eastAsia="Garamond" w:hAnsi="Garamond" w:cs="Garamond"/>
                <w:color w:val="000000"/>
              </w:rPr>
              <w:t>1</w:t>
            </w:r>
          </w:p>
        </w:tc>
        <w:tc>
          <w:tcPr>
            <w:tcW w:w="480" w:type="dxa"/>
            <w:tcMar>
              <w:top w:w="100" w:type="dxa"/>
              <w:left w:w="100" w:type="dxa"/>
              <w:bottom w:w="100" w:type="dxa"/>
              <w:right w:w="100" w:type="dxa"/>
            </w:tcMar>
          </w:tcPr>
          <w:p w14:paraId="153CE93A"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 xml:space="preserve">Q </w:t>
            </w:r>
          </w:p>
          <w:p w14:paraId="5CCC07BF" w14:textId="77777777" w:rsidR="00BA3FBD" w:rsidRDefault="00000000">
            <w:pPr>
              <w:widowControl w:val="0"/>
              <w:pBdr>
                <w:top w:val="nil"/>
                <w:left w:val="nil"/>
                <w:bottom w:val="nil"/>
                <w:right w:val="nil"/>
                <w:between w:val="nil"/>
              </w:pBdr>
              <w:spacing w:line="240" w:lineRule="auto"/>
              <w:ind w:left="134"/>
              <w:rPr>
                <w:rFonts w:ascii="Garamond" w:eastAsia="Garamond" w:hAnsi="Garamond" w:cs="Garamond"/>
                <w:color w:val="000000"/>
              </w:rPr>
            </w:pPr>
            <w:r>
              <w:rPr>
                <w:rFonts w:ascii="Garamond" w:eastAsia="Garamond" w:hAnsi="Garamond" w:cs="Garamond"/>
                <w:color w:val="000000"/>
              </w:rPr>
              <w:t>2</w:t>
            </w:r>
          </w:p>
        </w:tc>
        <w:tc>
          <w:tcPr>
            <w:tcW w:w="479" w:type="dxa"/>
            <w:tcMar>
              <w:top w:w="100" w:type="dxa"/>
              <w:left w:w="100" w:type="dxa"/>
              <w:bottom w:w="100" w:type="dxa"/>
              <w:right w:w="100" w:type="dxa"/>
            </w:tcMar>
          </w:tcPr>
          <w:p w14:paraId="1A5214A3"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 xml:space="preserve">Q </w:t>
            </w:r>
          </w:p>
          <w:p w14:paraId="59EE7A6B" w14:textId="77777777" w:rsidR="00BA3FBD" w:rsidRDefault="00000000">
            <w:pPr>
              <w:widowControl w:val="0"/>
              <w:pBdr>
                <w:top w:val="nil"/>
                <w:left w:val="nil"/>
                <w:bottom w:val="nil"/>
                <w:right w:val="nil"/>
                <w:between w:val="nil"/>
              </w:pBdr>
              <w:spacing w:line="240" w:lineRule="auto"/>
              <w:ind w:left="138"/>
              <w:rPr>
                <w:rFonts w:ascii="Garamond" w:eastAsia="Garamond" w:hAnsi="Garamond" w:cs="Garamond"/>
                <w:color w:val="000000"/>
              </w:rPr>
            </w:pPr>
            <w:r>
              <w:rPr>
                <w:rFonts w:ascii="Garamond" w:eastAsia="Garamond" w:hAnsi="Garamond" w:cs="Garamond"/>
                <w:color w:val="000000"/>
              </w:rPr>
              <w:t>3</w:t>
            </w:r>
          </w:p>
        </w:tc>
        <w:tc>
          <w:tcPr>
            <w:tcW w:w="480" w:type="dxa"/>
            <w:tcMar>
              <w:top w:w="100" w:type="dxa"/>
              <w:left w:w="100" w:type="dxa"/>
              <w:bottom w:w="100" w:type="dxa"/>
              <w:right w:w="100" w:type="dxa"/>
            </w:tcMar>
          </w:tcPr>
          <w:p w14:paraId="2CDB4678"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 xml:space="preserve">Q </w:t>
            </w:r>
          </w:p>
          <w:p w14:paraId="732B3D23" w14:textId="77777777" w:rsidR="00BA3FBD" w:rsidRDefault="00000000">
            <w:pPr>
              <w:widowControl w:val="0"/>
              <w:pBdr>
                <w:top w:val="nil"/>
                <w:left w:val="nil"/>
                <w:bottom w:val="nil"/>
                <w:right w:val="nil"/>
                <w:between w:val="nil"/>
              </w:pBdr>
              <w:spacing w:line="240" w:lineRule="auto"/>
              <w:ind w:left="135"/>
              <w:rPr>
                <w:rFonts w:ascii="Garamond" w:eastAsia="Garamond" w:hAnsi="Garamond" w:cs="Garamond"/>
                <w:color w:val="000000"/>
              </w:rPr>
            </w:pPr>
            <w:r>
              <w:rPr>
                <w:rFonts w:ascii="Garamond" w:eastAsia="Garamond" w:hAnsi="Garamond" w:cs="Garamond"/>
                <w:color w:val="000000"/>
              </w:rPr>
              <w:t>4</w:t>
            </w:r>
          </w:p>
        </w:tc>
      </w:tr>
      <w:tr w:rsidR="00BA3FBD" w14:paraId="3D5C2446" w14:textId="77777777">
        <w:trPr>
          <w:trHeight w:val="500"/>
        </w:trPr>
        <w:tc>
          <w:tcPr>
            <w:tcW w:w="3060" w:type="dxa"/>
            <w:tcMar>
              <w:top w:w="100" w:type="dxa"/>
              <w:left w:w="100" w:type="dxa"/>
              <w:bottom w:w="100" w:type="dxa"/>
              <w:right w:w="100" w:type="dxa"/>
            </w:tcMar>
          </w:tcPr>
          <w:p w14:paraId="7F4BB335" w14:textId="77777777" w:rsidR="00BA3FBD" w:rsidRDefault="00000000">
            <w:pPr>
              <w:widowControl w:val="0"/>
              <w:pBdr>
                <w:top w:val="nil"/>
                <w:left w:val="nil"/>
                <w:bottom w:val="nil"/>
                <w:right w:val="nil"/>
                <w:between w:val="nil"/>
              </w:pBdr>
              <w:spacing w:line="240" w:lineRule="auto"/>
              <w:ind w:left="135"/>
              <w:rPr>
                <w:rFonts w:ascii="Garamond" w:eastAsia="Garamond" w:hAnsi="Garamond" w:cs="Garamond"/>
                <w:b/>
                <w:color w:val="000000"/>
              </w:rPr>
            </w:pPr>
            <w:r>
              <w:rPr>
                <w:rFonts w:ascii="Garamond" w:eastAsia="Garamond" w:hAnsi="Garamond" w:cs="Garamond"/>
                <w:b/>
                <w:color w:val="000000"/>
              </w:rPr>
              <w:t>Project Set Up</w:t>
            </w:r>
          </w:p>
        </w:tc>
        <w:tc>
          <w:tcPr>
            <w:tcW w:w="600" w:type="dxa"/>
            <w:tcMar>
              <w:top w:w="100" w:type="dxa"/>
              <w:left w:w="100" w:type="dxa"/>
              <w:bottom w:w="100" w:type="dxa"/>
              <w:right w:w="100" w:type="dxa"/>
            </w:tcMar>
          </w:tcPr>
          <w:p w14:paraId="1626F3BD" w14:textId="77777777" w:rsidR="00BA3FBD" w:rsidRDefault="00BA3FBD">
            <w:pPr>
              <w:widowControl w:val="0"/>
              <w:pBdr>
                <w:top w:val="nil"/>
                <w:left w:val="nil"/>
                <w:bottom w:val="nil"/>
                <w:right w:val="nil"/>
                <w:between w:val="nil"/>
              </w:pBdr>
              <w:rPr>
                <w:rFonts w:ascii="Garamond" w:eastAsia="Garamond" w:hAnsi="Garamond" w:cs="Garamond"/>
                <w:b/>
                <w:color w:val="000000"/>
              </w:rPr>
            </w:pPr>
          </w:p>
        </w:tc>
        <w:tc>
          <w:tcPr>
            <w:tcW w:w="480" w:type="dxa"/>
            <w:tcMar>
              <w:top w:w="100" w:type="dxa"/>
              <w:left w:w="100" w:type="dxa"/>
              <w:bottom w:w="100" w:type="dxa"/>
              <w:right w:w="100" w:type="dxa"/>
            </w:tcMar>
          </w:tcPr>
          <w:p w14:paraId="6F615A52" w14:textId="77777777" w:rsidR="00BA3FBD" w:rsidRDefault="00BA3FBD">
            <w:pPr>
              <w:widowControl w:val="0"/>
              <w:pBdr>
                <w:top w:val="nil"/>
                <w:left w:val="nil"/>
                <w:bottom w:val="nil"/>
                <w:right w:val="nil"/>
                <w:between w:val="nil"/>
              </w:pBdr>
              <w:rPr>
                <w:rFonts w:ascii="Garamond" w:eastAsia="Garamond" w:hAnsi="Garamond" w:cs="Garamond"/>
                <w:b/>
                <w:color w:val="000000"/>
              </w:rPr>
            </w:pPr>
          </w:p>
        </w:tc>
        <w:tc>
          <w:tcPr>
            <w:tcW w:w="480" w:type="dxa"/>
            <w:tcMar>
              <w:top w:w="100" w:type="dxa"/>
              <w:left w:w="100" w:type="dxa"/>
              <w:bottom w:w="100" w:type="dxa"/>
              <w:right w:w="100" w:type="dxa"/>
            </w:tcMar>
          </w:tcPr>
          <w:p w14:paraId="04D2F2A1" w14:textId="77777777" w:rsidR="00BA3FBD" w:rsidRDefault="00BA3FBD">
            <w:pPr>
              <w:widowControl w:val="0"/>
              <w:pBdr>
                <w:top w:val="nil"/>
                <w:left w:val="nil"/>
                <w:bottom w:val="nil"/>
                <w:right w:val="nil"/>
                <w:between w:val="nil"/>
              </w:pBdr>
              <w:rPr>
                <w:rFonts w:ascii="Garamond" w:eastAsia="Garamond" w:hAnsi="Garamond" w:cs="Garamond"/>
                <w:b/>
                <w:color w:val="000000"/>
              </w:rPr>
            </w:pPr>
          </w:p>
        </w:tc>
        <w:tc>
          <w:tcPr>
            <w:tcW w:w="480" w:type="dxa"/>
            <w:tcMar>
              <w:top w:w="100" w:type="dxa"/>
              <w:left w:w="100" w:type="dxa"/>
              <w:bottom w:w="100" w:type="dxa"/>
              <w:right w:w="100" w:type="dxa"/>
            </w:tcMar>
          </w:tcPr>
          <w:p w14:paraId="2BB2C11D" w14:textId="77777777" w:rsidR="00BA3FBD" w:rsidRDefault="00BA3FBD">
            <w:pPr>
              <w:widowControl w:val="0"/>
              <w:pBdr>
                <w:top w:val="nil"/>
                <w:left w:val="nil"/>
                <w:bottom w:val="nil"/>
                <w:right w:val="nil"/>
                <w:between w:val="nil"/>
              </w:pBdr>
              <w:rPr>
                <w:rFonts w:ascii="Garamond" w:eastAsia="Garamond" w:hAnsi="Garamond" w:cs="Garamond"/>
                <w:b/>
                <w:color w:val="000000"/>
              </w:rPr>
            </w:pPr>
          </w:p>
        </w:tc>
        <w:tc>
          <w:tcPr>
            <w:tcW w:w="480" w:type="dxa"/>
            <w:tcMar>
              <w:top w:w="100" w:type="dxa"/>
              <w:left w:w="100" w:type="dxa"/>
              <w:bottom w:w="100" w:type="dxa"/>
              <w:right w:w="100" w:type="dxa"/>
            </w:tcMar>
          </w:tcPr>
          <w:p w14:paraId="03A738FA" w14:textId="77777777" w:rsidR="00BA3FBD" w:rsidRDefault="00BA3FBD">
            <w:pPr>
              <w:widowControl w:val="0"/>
              <w:pBdr>
                <w:top w:val="nil"/>
                <w:left w:val="nil"/>
                <w:bottom w:val="nil"/>
                <w:right w:val="nil"/>
                <w:between w:val="nil"/>
              </w:pBdr>
              <w:rPr>
                <w:rFonts w:ascii="Garamond" w:eastAsia="Garamond" w:hAnsi="Garamond" w:cs="Garamond"/>
                <w:b/>
                <w:color w:val="000000"/>
              </w:rPr>
            </w:pPr>
          </w:p>
        </w:tc>
        <w:tc>
          <w:tcPr>
            <w:tcW w:w="480" w:type="dxa"/>
            <w:tcMar>
              <w:top w:w="100" w:type="dxa"/>
              <w:left w:w="100" w:type="dxa"/>
              <w:bottom w:w="100" w:type="dxa"/>
              <w:right w:w="100" w:type="dxa"/>
            </w:tcMar>
          </w:tcPr>
          <w:p w14:paraId="41416E37" w14:textId="77777777" w:rsidR="00BA3FBD" w:rsidRDefault="00BA3FBD">
            <w:pPr>
              <w:widowControl w:val="0"/>
              <w:pBdr>
                <w:top w:val="nil"/>
                <w:left w:val="nil"/>
                <w:bottom w:val="nil"/>
                <w:right w:val="nil"/>
                <w:between w:val="nil"/>
              </w:pBdr>
              <w:rPr>
                <w:rFonts w:ascii="Garamond" w:eastAsia="Garamond" w:hAnsi="Garamond" w:cs="Garamond"/>
                <w:b/>
                <w:color w:val="000000"/>
              </w:rPr>
            </w:pPr>
          </w:p>
        </w:tc>
        <w:tc>
          <w:tcPr>
            <w:tcW w:w="480" w:type="dxa"/>
            <w:tcMar>
              <w:top w:w="100" w:type="dxa"/>
              <w:left w:w="100" w:type="dxa"/>
              <w:bottom w:w="100" w:type="dxa"/>
              <w:right w:w="100" w:type="dxa"/>
            </w:tcMar>
          </w:tcPr>
          <w:p w14:paraId="062E11F2" w14:textId="77777777" w:rsidR="00BA3FBD" w:rsidRDefault="00BA3FBD">
            <w:pPr>
              <w:widowControl w:val="0"/>
              <w:pBdr>
                <w:top w:val="nil"/>
                <w:left w:val="nil"/>
                <w:bottom w:val="nil"/>
                <w:right w:val="nil"/>
                <w:between w:val="nil"/>
              </w:pBdr>
              <w:rPr>
                <w:rFonts w:ascii="Garamond" w:eastAsia="Garamond" w:hAnsi="Garamond" w:cs="Garamond"/>
                <w:b/>
                <w:color w:val="000000"/>
              </w:rPr>
            </w:pPr>
          </w:p>
        </w:tc>
        <w:tc>
          <w:tcPr>
            <w:tcW w:w="480" w:type="dxa"/>
            <w:tcMar>
              <w:top w:w="100" w:type="dxa"/>
              <w:left w:w="100" w:type="dxa"/>
              <w:bottom w:w="100" w:type="dxa"/>
              <w:right w:w="100" w:type="dxa"/>
            </w:tcMar>
          </w:tcPr>
          <w:p w14:paraId="30731BD9" w14:textId="77777777" w:rsidR="00BA3FBD" w:rsidRDefault="00BA3FBD">
            <w:pPr>
              <w:widowControl w:val="0"/>
              <w:pBdr>
                <w:top w:val="nil"/>
                <w:left w:val="nil"/>
                <w:bottom w:val="nil"/>
                <w:right w:val="nil"/>
                <w:between w:val="nil"/>
              </w:pBdr>
              <w:rPr>
                <w:rFonts w:ascii="Garamond" w:eastAsia="Garamond" w:hAnsi="Garamond" w:cs="Garamond"/>
                <w:b/>
                <w:color w:val="000000"/>
              </w:rPr>
            </w:pPr>
          </w:p>
        </w:tc>
        <w:tc>
          <w:tcPr>
            <w:tcW w:w="480" w:type="dxa"/>
            <w:tcMar>
              <w:top w:w="100" w:type="dxa"/>
              <w:left w:w="100" w:type="dxa"/>
              <w:bottom w:w="100" w:type="dxa"/>
              <w:right w:w="100" w:type="dxa"/>
            </w:tcMar>
          </w:tcPr>
          <w:p w14:paraId="4B0030BE" w14:textId="77777777" w:rsidR="00BA3FBD" w:rsidRDefault="00BA3FBD">
            <w:pPr>
              <w:widowControl w:val="0"/>
              <w:pBdr>
                <w:top w:val="nil"/>
                <w:left w:val="nil"/>
                <w:bottom w:val="nil"/>
                <w:right w:val="nil"/>
                <w:between w:val="nil"/>
              </w:pBdr>
              <w:rPr>
                <w:rFonts w:ascii="Garamond" w:eastAsia="Garamond" w:hAnsi="Garamond" w:cs="Garamond"/>
                <w:b/>
                <w:color w:val="000000"/>
              </w:rPr>
            </w:pPr>
          </w:p>
        </w:tc>
        <w:tc>
          <w:tcPr>
            <w:tcW w:w="480" w:type="dxa"/>
            <w:tcMar>
              <w:top w:w="100" w:type="dxa"/>
              <w:left w:w="100" w:type="dxa"/>
              <w:bottom w:w="100" w:type="dxa"/>
              <w:right w:w="100" w:type="dxa"/>
            </w:tcMar>
          </w:tcPr>
          <w:p w14:paraId="615ACBDA" w14:textId="77777777" w:rsidR="00BA3FBD" w:rsidRDefault="00BA3FBD">
            <w:pPr>
              <w:widowControl w:val="0"/>
              <w:pBdr>
                <w:top w:val="nil"/>
                <w:left w:val="nil"/>
                <w:bottom w:val="nil"/>
                <w:right w:val="nil"/>
                <w:between w:val="nil"/>
              </w:pBdr>
              <w:rPr>
                <w:rFonts w:ascii="Garamond" w:eastAsia="Garamond" w:hAnsi="Garamond" w:cs="Garamond"/>
                <w:b/>
                <w:color w:val="000000"/>
              </w:rPr>
            </w:pPr>
          </w:p>
        </w:tc>
        <w:tc>
          <w:tcPr>
            <w:tcW w:w="480" w:type="dxa"/>
            <w:tcMar>
              <w:top w:w="100" w:type="dxa"/>
              <w:left w:w="100" w:type="dxa"/>
              <w:bottom w:w="100" w:type="dxa"/>
              <w:right w:w="100" w:type="dxa"/>
            </w:tcMar>
          </w:tcPr>
          <w:p w14:paraId="734B5A6F" w14:textId="77777777" w:rsidR="00BA3FBD" w:rsidRDefault="00BA3FBD">
            <w:pPr>
              <w:widowControl w:val="0"/>
              <w:pBdr>
                <w:top w:val="nil"/>
                <w:left w:val="nil"/>
                <w:bottom w:val="nil"/>
                <w:right w:val="nil"/>
                <w:between w:val="nil"/>
              </w:pBdr>
              <w:rPr>
                <w:rFonts w:ascii="Garamond" w:eastAsia="Garamond" w:hAnsi="Garamond" w:cs="Garamond"/>
                <w:b/>
                <w:color w:val="000000"/>
              </w:rPr>
            </w:pPr>
          </w:p>
        </w:tc>
        <w:tc>
          <w:tcPr>
            <w:tcW w:w="479" w:type="dxa"/>
            <w:tcMar>
              <w:top w:w="100" w:type="dxa"/>
              <w:left w:w="100" w:type="dxa"/>
              <w:bottom w:w="100" w:type="dxa"/>
              <w:right w:w="100" w:type="dxa"/>
            </w:tcMar>
          </w:tcPr>
          <w:p w14:paraId="2CD95846" w14:textId="77777777" w:rsidR="00BA3FBD" w:rsidRDefault="00BA3FBD">
            <w:pPr>
              <w:widowControl w:val="0"/>
              <w:pBdr>
                <w:top w:val="nil"/>
                <w:left w:val="nil"/>
                <w:bottom w:val="nil"/>
                <w:right w:val="nil"/>
                <w:between w:val="nil"/>
              </w:pBdr>
              <w:rPr>
                <w:rFonts w:ascii="Garamond" w:eastAsia="Garamond" w:hAnsi="Garamond" w:cs="Garamond"/>
                <w:b/>
                <w:color w:val="000000"/>
              </w:rPr>
            </w:pPr>
          </w:p>
        </w:tc>
        <w:tc>
          <w:tcPr>
            <w:tcW w:w="480" w:type="dxa"/>
            <w:tcMar>
              <w:top w:w="100" w:type="dxa"/>
              <w:left w:w="100" w:type="dxa"/>
              <w:bottom w:w="100" w:type="dxa"/>
              <w:right w:w="100" w:type="dxa"/>
            </w:tcMar>
          </w:tcPr>
          <w:p w14:paraId="291C4A53" w14:textId="77777777" w:rsidR="00BA3FBD" w:rsidRDefault="00BA3FBD">
            <w:pPr>
              <w:widowControl w:val="0"/>
              <w:pBdr>
                <w:top w:val="nil"/>
                <w:left w:val="nil"/>
                <w:bottom w:val="nil"/>
                <w:right w:val="nil"/>
                <w:between w:val="nil"/>
              </w:pBdr>
              <w:rPr>
                <w:rFonts w:ascii="Garamond" w:eastAsia="Garamond" w:hAnsi="Garamond" w:cs="Garamond"/>
                <w:b/>
                <w:color w:val="000000"/>
              </w:rPr>
            </w:pPr>
          </w:p>
        </w:tc>
      </w:tr>
      <w:tr w:rsidR="00BA3FBD" w14:paraId="4198D962" w14:textId="77777777">
        <w:trPr>
          <w:trHeight w:val="600"/>
        </w:trPr>
        <w:tc>
          <w:tcPr>
            <w:tcW w:w="3060" w:type="dxa"/>
            <w:tcMar>
              <w:top w:w="100" w:type="dxa"/>
              <w:left w:w="100" w:type="dxa"/>
              <w:bottom w:w="100" w:type="dxa"/>
              <w:right w:w="100" w:type="dxa"/>
            </w:tcMar>
          </w:tcPr>
          <w:p w14:paraId="12E86E45" w14:textId="77777777" w:rsidR="00BA3FBD" w:rsidRDefault="00000000">
            <w:pPr>
              <w:widowControl w:val="0"/>
              <w:pBdr>
                <w:top w:val="nil"/>
                <w:left w:val="nil"/>
                <w:bottom w:val="nil"/>
                <w:right w:val="nil"/>
                <w:between w:val="nil"/>
              </w:pBdr>
              <w:spacing w:line="240" w:lineRule="auto"/>
              <w:ind w:left="494"/>
              <w:rPr>
                <w:rFonts w:ascii="Garamond" w:eastAsia="Garamond" w:hAnsi="Garamond" w:cs="Garamond"/>
                <w:color w:val="000000"/>
              </w:rPr>
            </w:pPr>
            <w:r>
              <w:rPr>
                <w:rFonts w:ascii="Garamond" w:eastAsia="Garamond" w:hAnsi="Garamond" w:cs="Garamond"/>
                <w:color w:val="000000"/>
              </w:rPr>
              <w:t xml:space="preserve">IRB approval </w:t>
            </w:r>
          </w:p>
        </w:tc>
        <w:tc>
          <w:tcPr>
            <w:tcW w:w="600" w:type="dxa"/>
            <w:tcMar>
              <w:top w:w="100" w:type="dxa"/>
              <w:left w:w="100" w:type="dxa"/>
              <w:bottom w:w="100" w:type="dxa"/>
              <w:right w:w="100" w:type="dxa"/>
            </w:tcMar>
          </w:tcPr>
          <w:p w14:paraId="79DB0290" w14:textId="77777777" w:rsidR="00BA3FBD" w:rsidRDefault="00000000">
            <w:pPr>
              <w:widowControl w:val="0"/>
              <w:pBdr>
                <w:top w:val="nil"/>
                <w:left w:val="nil"/>
                <w:bottom w:val="nil"/>
                <w:right w:val="nil"/>
                <w:between w:val="nil"/>
              </w:pBdr>
              <w:spacing w:line="240" w:lineRule="auto"/>
              <w:ind w:left="116"/>
              <w:rPr>
                <w:rFonts w:ascii="Garamond" w:eastAsia="Garamond" w:hAnsi="Garamond" w:cs="Garamond"/>
                <w:color w:val="000000"/>
              </w:rPr>
            </w:pPr>
            <w:r>
              <w:rPr>
                <w:rFonts w:ascii="Garamond" w:eastAsia="Garamond" w:hAnsi="Garamond" w:cs="Garamond"/>
                <w:color w:val="000000"/>
              </w:rPr>
              <w:t>X</w:t>
            </w:r>
          </w:p>
        </w:tc>
        <w:tc>
          <w:tcPr>
            <w:tcW w:w="480" w:type="dxa"/>
            <w:tcMar>
              <w:top w:w="100" w:type="dxa"/>
              <w:left w:w="100" w:type="dxa"/>
              <w:bottom w:w="100" w:type="dxa"/>
              <w:right w:w="100" w:type="dxa"/>
            </w:tcMar>
          </w:tcPr>
          <w:p w14:paraId="61FE42AD"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80" w:type="dxa"/>
            <w:tcMar>
              <w:top w:w="100" w:type="dxa"/>
              <w:left w:w="100" w:type="dxa"/>
              <w:bottom w:w="100" w:type="dxa"/>
              <w:right w:w="100" w:type="dxa"/>
            </w:tcMar>
          </w:tcPr>
          <w:p w14:paraId="7250C421"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80" w:type="dxa"/>
            <w:tcMar>
              <w:top w:w="100" w:type="dxa"/>
              <w:left w:w="100" w:type="dxa"/>
              <w:bottom w:w="100" w:type="dxa"/>
              <w:right w:w="100" w:type="dxa"/>
            </w:tcMar>
          </w:tcPr>
          <w:p w14:paraId="1F812BAA"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80" w:type="dxa"/>
            <w:tcMar>
              <w:top w:w="100" w:type="dxa"/>
              <w:left w:w="100" w:type="dxa"/>
              <w:bottom w:w="100" w:type="dxa"/>
              <w:right w:w="100" w:type="dxa"/>
            </w:tcMar>
          </w:tcPr>
          <w:p w14:paraId="3974CE08"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80" w:type="dxa"/>
            <w:tcMar>
              <w:top w:w="100" w:type="dxa"/>
              <w:left w:w="100" w:type="dxa"/>
              <w:bottom w:w="100" w:type="dxa"/>
              <w:right w:w="100" w:type="dxa"/>
            </w:tcMar>
          </w:tcPr>
          <w:p w14:paraId="5110E85D"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80" w:type="dxa"/>
            <w:tcMar>
              <w:top w:w="100" w:type="dxa"/>
              <w:left w:w="100" w:type="dxa"/>
              <w:bottom w:w="100" w:type="dxa"/>
              <w:right w:w="100" w:type="dxa"/>
            </w:tcMar>
          </w:tcPr>
          <w:p w14:paraId="10AF215D"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80" w:type="dxa"/>
            <w:tcMar>
              <w:top w:w="100" w:type="dxa"/>
              <w:left w:w="100" w:type="dxa"/>
              <w:bottom w:w="100" w:type="dxa"/>
              <w:right w:w="100" w:type="dxa"/>
            </w:tcMar>
          </w:tcPr>
          <w:p w14:paraId="299F9DA4"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80" w:type="dxa"/>
            <w:tcMar>
              <w:top w:w="100" w:type="dxa"/>
              <w:left w:w="100" w:type="dxa"/>
              <w:bottom w:w="100" w:type="dxa"/>
              <w:right w:w="100" w:type="dxa"/>
            </w:tcMar>
          </w:tcPr>
          <w:p w14:paraId="6B6F6089"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80" w:type="dxa"/>
            <w:tcMar>
              <w:top w:w="100" w:type="dxa"/>
              <w:left w:w="100" w:type="dxa"/>
              <w:bottom w:w="100" w:type="dxa"/>
              <w:right w:w="100" w:type="dxa"/>
            </w:tcMar>
          </w:tcPr>
          <w:p w14:paraId="2AD75E4F"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80" w:type="dxa"/>
            <w:tcMar>
              <w:top w:w="100" w:type="dxa"/>
              <w:left w:w="100" w:type="dxa"/>
              <w:bottom w:w="100" w:type="dxa"/>
              <w:right w:w="100" w:type="dxa"/>
            </w:tcMar>
          </w:tcPr>
          <w:p w14:paraId="2349BDD0"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79" w:type="dxa"/>
            <w:tcMar>
              <w:top w:w="100" w:type="dxa"/>
              <w:left w:w="100" w:type="dxa"/>
              <w:bottom w:w="100" w:type="dxa"/>
              <w:right w:w="100" w:type="dxa"/>
            </w:tcMar>
          </w:tcPr>
          <w:p w14:paraId="5F03A87B"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80" w:type="dxa"/>
            <w:tcMar>
              <w:top w:w="100" w:type="dxa"/>
              <w:left w:w="100" w:type="dxa"/>
              <w:bottom w:w="100" w:type="dxa"/>
              <w:right w:w="100" w:type="dxa"/>
            </w:tcMar>
          </w:tcPr>
          <w:p w14:paraId="2A63614F" w14:textId="77777777" w:rsidR="00BA3FBD" w:rsidRDefault="00BA3FBD">
            <w:pPr>
              <w:widowControl w:val="0"/>
              <w:pBdr>
                <w:top w:val="nil"/>
                <w:left w:val="nil"/>
                <w:bottom w:val="nil"/>
                <w:right w:val="nil"/>
                <w:between w:val="nil"/>
              </w:pBdr>
              <w:rPr>
                <w:rFonts w:ascii="Garamond" w:eastAsia="Garamond" w:hAnsi="Garamond" w:cs="Garamond"/>
                <w:color w:val="000000"/>
              </w:rPr>
            </w:pPr>
          </w:p>
        </w:tc>
      </w:tr>
    </w:tbl>
    <w:p w14:paraId="1FD85B98" w14:textId="77777777" w:rsidR="00BA3FBD" w:rsidRDefault="00BA3FBD">
      <w:pPr>
        <w:widowControl w:val="0"/>
        <w:pBdr>
          <w:top w:val="nil"/>
          <w:left w:val="nil"/>
          <w:bottom w:val="nil"/>
          <w:right w:val="nil"/>
          <w:between w:val="nil"/>
        </w:pBdr>
        <w:spacing w:line="240" w:lineRule="auto"/>
        <w:ind w:right="43"/>
        <w:rPr>
          <w:rFonts w:ascii="Garamond" w:eastAsia="Garamond" w:hAnsi="Garamond" w:cs="Garamond"/>
          <w:color w:val="000000"/>
        </w:rPr>
      </w:pPr>
    </w:p>
    <w:tbl>
      <w:tblPr>
        <w:tblStyle w:val="a0"/>
        <w:tblW w:w="94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61"/>
        <w:gridCol w:w="600"/>
        <w:gridCol w:w="480"/>
        <w:gridCol w:w="480"/>
        <w:gridCol w:w="480"/>
        <w:gridCol w:w="480"/>
        <w:gridCol w:w="480"/>
        <w:gridCol w:w="480"/>
        <w:gridCol w:w="480"/>
        <w:gridCol w:w="480"/>
        <w:gridCol w:w="480"/>
        <w:gridCol w:w="480"/>
        <w:gridCol w:w="479"/>
        <w:gridCol w:w="480"/>
      </w:tblGrid>
      <w:tr w:rsidR="00BA3FBD" w14:paraId="44B38E14" w14:textId="77777777">
        <w:trPr>
          <w:trHeight w:val="960"/>
        </w:trPr>
        <w:tc>
          <w:tcPr>
            <w:tcW w:w="3060" w:type="dxa"/>
            <w:tcMar>
              <w:top w:w="100" w:type="dxa"/>
              <w:left w:w="100" w:type="dxa"/>
              <w:bottom w:w="100" w:type="dxa"/>
              <w:right w:w="100" w:type="dxa"/>
            </w:tcMar>
          </w:tcPr>
          <w:p w14:paraId="4A3EABA3" w14:textId="77777777" w:rsidR="00BA3FBD" w:rsidRDefault="00000000">
            <w:pPr>
              <w:widowControl w:val="0"/>
              <w:pBdr>
                <w:top w:val="nil"/>
                <w:left w:val="nil"/>
                <w:bottom w:val="nil"/>
                <w:right w:val="nil"/>
                <w:between w:val="nil"/>
              </w:pBdr>
              <w:spacing w:line="240" w:lineRule="auto"/>
              <w:ind w:left="494"/>
              <w:rPr>
                <w:rFonts w:ascii="Garamond" w:eastAsia="Garamond" w:hAnsi="Garamond" w:cs="Garamond"/>
                <w:color w:val="222222"/>
              </w:rPr>
            </w:pPr>
            <w:r>
              <w:rPr>
                <w:rFonts w:ascii="Garamond" w:eastAsia="Garamond" w:hAnsi="Garamond" w:cs="Garamond"/>
                <w:color w:val="000000"/>
              </w:rPr>
              <w:t xml:space="preserve">Hire </w:t>
            </w:r>
            <w:r>
              <w:rPr>
                <w:rFonts w:ascii="Garamond" w:eastAsia="Garamond" w:hAnsi="Garamond" w:cs="Garamond"/>
                <w:color w:val="222222"/>
                <w:highlight w:val="white"/>
              </w:rPr>
              <w:t>Program and</w:t>
            </w:r>
            <w:r>
              <w:rPr>
                <w:rFonts w:ascii="Garamond" w:eastAsia="Garamond" w:hAnsi="Garamond" w:cs="Garamond"/>
                <w:color w:val="222222"/>
              </w:rPr>
              <w:t xml:space="preserve"> </w:t>
            </w:r>
          </w:p>
          <w:p w14:paraId="614B68C0" w14:textId="77777777" w:rsidR="00BA3FBD" w:rsidRDefault="00000000">
            <w:pPr>
              <w:widowControl w:val="0"/>
              <w:pBdr>
                <w:top w:val="nil"/>
                <w:left w:val="nil"/>
                <w:bottom w:val="nil"/>
                <w:right w:val="nil"/>
                <w:between w:val="nil"/>
              </w:pBdr>
              <w:spacing w:line="224" w:lineRule="auto"/>
              <w:ind w:left="502" w:right="83" w:hanging="6"/>
              <w:rPr>
                <w:rFonts w:ascii="Garamond" w:eastAsia="Garamond" w:hAnsi="Garamond" w:cs="Garamond"/>
                <w:color w:val="000000"/>
              </w:rPr>
            </w:pPr>
            <w:r>
              <w:rPr>
                <w:rFonts w:ascii="Garamond" w:eastAsia="Garamond" w:hAnsi="Garamond" w:cs="Garamond"/>
                <w:color w:val="222222"/>
                <w:highlight w:val="white"/>
              </w:rPr>
              <w:t>Enrollment Coordinator</w:t>
            </w:r>
            <w:r>
              <w:rPr>
                <w:rFonts w:ascii="Garamond" w:eastAsia="Garamond" w:hAnsi="Garamond" w:cs="Garamond"/>
                <w:color w:val="222222"/>
              </w:rPr>
              <w:t xml:space="preserve"> </w:t>
            </w:r>
            <w:r>
              <w:rPr>
                <w:rFonts w:ascii="Garamond" w:eastAsia="Garamond" w:hAnsi="Garamond" w:cs="Garamond"/>
                <w:color w:val="000000"/>
              </w:rPr>
              <w:t>and secure payment vendor</w:t>
            </w:r>
          </w:p>
        </w:tc>
        <w:tc>
          <w:tcPr>
            <w:tcW w:w="600" w:type="dxa"/>
            <w:tcMar>
              <w:top w:w="100" w:type="dxa"/>
              <w:left w:w="100" w:type="dxa"/>
              <w:bottom w:w="100" w:type="dxa"/>
              <w:right w:w="100" w:type="dxa"/>
            </w:tcMar>
          </w:tcPr>
          <w:p w14:paraId="24FE741B" w14:textId="77777777" w:rsidR="00BA3FBD" w:rsidRDefault="00000000">
            <w:pPr>
              <w:widowControl w:val="0"/>
              <w:pBdr>
                <w:top w:val="nil"/>
                <w:left w:val="nil"/>
                <w:bottom w:val="nil"/>
                <w:right w:val="nil"/>
                <w:between w:val="nil"/>
              </w:pBdr>
              <w:spacing w:line="240" w:lineRule="auto"/>
              <w:ind w:left="116"/>
              <w:rPr>
                <w:rFonts w:ascii="Garamond" w:eastAsia="Garamond" w:hAnsi="Garamond" w:cs="Garamond"/>
                <w:color w:val="000000"/>
              </w:rPr>
            </w:pPr>
            <w:r>
              <w:rPr>
                <w:rFonts w:ascii="Garamond" w:eastAsia="Garamond" w:hAnsi="Garamond" w:cs="Garamond"/>
                <w:color w:val="000000"/>
              </w:rPr>
              <w:t>X</w:t>
            </w:r>
          </w:p>
        </w:tc>
        <w:tc>
          <w:tcPr>
            <w:tcW w:w="480" w:type="dxa"/>
            <w:tcMar>
              <w:top w:w="100" w:type="dxa"/>
              <w:left w:w="100" w:type="dxa"/>
              <w:bottom w:w="100" w:type="dxa"/>
              <w:right w:w="100" w:type="dxa"/>
            </w:tcMar>
          </w:tcPr>
          <w:p w14:paraId="50B8E7EE"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80" w:type="dxa"/>
            <w:tcMar>
              <w:top w:w="100" w:type="dxa"/>
              <w:left w:w="100" w:type="dxa"/>
              <w:bottom w:w="100" w:type="dxa"/>
              <w:right w:w="100" w:type="dxa"/>
            </w:tcMar>
          </w:tcPr>
          <w:p w14:paraId="60A6712C"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80" w:type="dxa"/>
            <w:tcMar>
              <w:top w:w="100" w:type="dxa"/>
              <w:left w:w="100" w:type="dxa"/>
              <w:bottom w:w="100" w:type="dxa"/>
              <w:right w:w="100" w:type="dxa"/>
            </w:tcMar>
          </w:tcPr>
          <w:p w14:paraId="6C508B69"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80" w:type="dxa"/>
            <w:tcMar>
              <w:top w:w="100" w:type="dxa"/>
              <w:left w:w="100" w:type="dxa"/>
              <w:bottom w:w="100" w:type="dxa"/>
              <w:right w:w="100" w:type="dxa"/>
            </w:tcMar>
          </w:tcPr>
          <w:p w14:paraId="69012098"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80" w:type="dxa"/>
            <w:tcMar>
              <w:top w:w="100" w:type="dxa"/>
              <w:left w:w="100" w:type="dxa"/>
              <w:bottom w:w="100" w:type="dxa"/>
              <w:right w:w="100" w:type="dxa"/>
            </w:tcMar>
          </w:tcPr>
          <w:p w14:paraId="6B4C652C"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80" w:type="dxa"/>
            <w:tcMar>
              <w:top w:w="100" w:type="dxa"/>
              <w:left w:w="100" w:type="dxa"/>
              <w:bottom w:w="100" w:type="dxa"/>
              <w:right w:w="100" w:type="dxa"/>
            </w:tcMar>
          </w:tcPr>
          <w:p w14:paraId="6CD22FC9"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80" w:type="dxa"/>
            <w:tcMar>
              <w:top w:w="100" w:type="dxa"/>
              <w:left w:w="100" w:type="dxa"/>
              <w:bottom w:w="100" w:type="dxa"/>
              <w:right w:w="100" w:type="dxa"/>
            </w:tcMar>
          </w:tcPr>
          <w:p w14:paraId="568013F3"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80" w:type="dxa"/>
            <w:tcMar>
              <w:top w:w="100" w:type="dxa"/>
              <w:left w:w="100" w:type="dxa"/>
              <w:bottom w:w="100" w:type="dxa"/>
              <w:right w:w="100" w:type="dxa"/>
            </w:tcMar>
          </w:tcPr>
          <w:p w14:paraId="0A8A3AB4"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80" w:type="dxa"/>
            <w:tcMar>
              <w:top w:w="100" w:type="dxa"/>
              <w:left w:w="100" w:type="dxa"/>
              <w:bottom w:w="100" w:type="dxa"/>
              <w:right w:w="100" w:type="dxa"/>
            </w:tcMar>
          </w:tcPr>
          <w:p w14:paraId="73FAD4AB"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80" w:type="dxa"/>
            <w:tcMar>
              <w:top w:w="100" w:type="dxa"/>
              <w:left w:w="100" w:type="dxa"/>
              <w:bottom w:w="100" w:type="dxa"/>
              <w:right w:w="100" w:type="dxa"/>
            </w:tcMar>
          </w:tcPr>
          <w:p w14:paraId="78BD96AF"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79" w:type="dxa"/>
            <w:tcMar>
              <w:top w:w="100" w:type="dxa"/>
              <w:left w:w="100" w:type="dxa"/>
              <w:bottom w:w="100" w:type="dxa"/>
              <w:right w:w="100" w:type="dxa"/>
            </w:tcMar>
          </w:tcPr>
          <w:p w14:paraId="1C4AAD70"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80" w:type="dxa"/>
            <w:tcMar>
              <w:top w:w="100" w:type="dxa"/>
              <w:left w:w="100" w:type="dxa"/>
              <w:bottom w:w="100" w:type="dxa"/>
              <w:right w:w="100" w:type="dxa"/>
            </w:tcMar>
          </w:tcPr>
          <w:p w14:paraId="77EC70E2" w14:textId="77777777" w:rsidR="00BA3FBD" w:rsidRDefault="00BA3FBD">
            <w:pPr>
              <w:widowControl w:val="0"/>
              <w:pBdr>
                <w:top w:val="nil"/>
                <w:left w:val="nil"/>
                <w:bottom w:val="nil"/>
                <w:right w:val="nil"/>
                <w:between w:val="nil"/>
              </w:pBdr>
              <w:rPr>
                <w:rFonts w:ascii="Garamond" w:eastAsia="Garamond" w:hAnsi="Garamond" w:cs="Garamond"/>
                <w:color w:val="000000"/>
              </w:rPr>
            </w:pPr>
          </w:p>
        </w:tc>
      </w:tr>
      <w:tr w:rsidR="00BA3FBD" w14:paraId="24989410" w14:textId="77777777">
        <w:trPr>
          <w:trHeight w:val="500"/>
        </w:trPr>
        <w:tc>
          <w:tcPr>
            <w:tcW w:w="3060" w:type="dxa"/>
            <w:tcMar>
              <w:top w:w="100" w:type="dxa"/>
              <w:left w:w="100" w:type="dxa"/>
              <w:bottom w:w="100" w:type="dxa"/>
              <w:right w:w="100" w:type="dxa"/>
            </w:tcMar>
          </w:tcPr>
          <w:p w14:paraId="375E7866" w14:textId="77777777" w:rsidR="00BA3FBD" w:rsidRDefault="00000000">
            <w:pPr>
              <w:widowControl w:val="0"/>
              <w:pBdr>
                <w:top w:val="nil"/>
                <w:left w:val="nil"/>
                <w:bottom w:val="nil"/>
                <w:right w:val="nil"/>
                <w:between w:val="nil"/>
              </w:pBdr>
              <w:spacing w:line="240" w:lineRule="auto"/>
              <w:ind w:left="494"/>
              <w:rPr>
                <w:rFonts w:ascii="Garamond" w:eastAsia="Garamond" w:hAnsi="Garamond" w:cs="Garamond"/>
                <w:color w:val="000000"/>
              </w:rPr>
            </w:pPr>
            <w:r>
              <w:rPr>
                <w:rFonts w:ascii="Garamond" w:eastAsia="Garamond" w:hAnsi="Garamond" w:cs="Garamond"/>
                <w:color w:val="000000"/>
              </w:rPr>
              <w:t xml:space="preserve">Pilot Phase </w:t>
            </w:r>
          </w:p>
        </w:tc>
        <w:tc>
          <w:tcPr>
            <w:tcW w:w="600" w:type="dxa"/>
            <w:tcMar>
              <w:top w:w="100" w:type="dxa"/>
              <w:left w:w="100" w:type="dxa"/>
              <w:bottom w:w="100" w:type="dxa"/>
              <w:right w:w="100" w:type="dxa"/>
            </w:tcMar>
          </w:tcPr>
          <w:p w14:paraId="3E3DA072"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80" w:type="dxa"/>
            <w:tcMar>
              <w:top w:w="100" w:type="dxa"/>
              <w:left w:w="100" w:type="dxa"/>
              <w:bottom w:w="100" w:type="dxa"/>
              <w:right w:w="100" w:type="dxa"/>
            </w:tcMar>
          </w:tcPr>
          <w:p w14:paraId="5D410284"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X</w:t>
            </w:r>
          </w:p>
        </w:tc>
        <w:tc>
          <w:tcPr>
            <w:tcW w:w="480" w:type="dxa"/>
            <w:tcMar>
              <w:top w:w="100" w:type="dxa"/>
              <w:left w:w="100" w:type="dxa"/>
              <w:bottom w:w="100" w:type="dxa"/>
              <w:right w:w="100" w:type="dxa"/>
            </w:tcMar>
          </w:tcPr>
          <w:p w14:paraId="220A5846"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80" w:type="dxa"/>
            <w:tcMar>
              <w:top w:w="100" w:type="dxa"/>
              <w:left w:w="100" w:type="dxa"/>
              <w:bottom w:w="100" w:type="dxa"/>
              <w:right w:w="100" w:type="dxa"/>
            </w:tcMar>
          </w:tcPr>
          <w:p w14:paraId="01E93280"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80" w:type="dxa"/>
            <w:tcMar>
              <w:top w:w="100" w:type="dxa"/>
              <w:left w:w="100" w:type="dxa"/>
              <w:bottom w:w="100" w:type="dxa"/>
              <w:right w:w="100" w:type="dxa"/>
            </w:tcMar>
          </w:tcPr>
          <w:p w14:paraId="6A430D66"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80" w:type="dxa"/>
            <w:tcMar>
              <w:top w:w="100" w:type="dxa"/>
              <w:left w:w="100" w:type="dxa"/>
              <w:bottom w:w="100" w:type="dxa"/>
              <w:right w:w="100" w:type="dxa"/>
            </w:tcMar>
          </w:tcPr>
          <w:p w14:paraId="2965E50A"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80" w:type="dxa"/>
            <w:tcMar>
              <w:top w:w="100" w:type="dxa"/>
              <w:left w:w="100" w:type="dxa"/>
              <w:bottom w:w="100" w:type="dxa"/>
              <w:right w:w="100" w:type="dxa"/>
            </w:tcMar>
          </w:tcPr>
          <w:p w14:paraId="45107917"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80" w:type="dxa"/>
            <w:tcMar>
              <w:top w:w="100" w:type="dxa"/>
              <w:left w:w="100" w:type="dxa"/>
              <w:bottom w:w="100" w:type="dxa"/>
              <w:right w:w="100" w:type="dxa"/>
            </w:tcMar>
          </w:tcPr>
          <w:p w14:paraId="240233A2"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80" w:type="dxa"/>
            <w:tcMar>
              <w:top w:w="100" w:type="dxa"/>
              <w:left w:w="100" w:type="dxa"/>
              <w:bottom w:w="100" w:type="dxa"/>
              <w:right w:w="100" w:type="dxa"/>
            </w:tcMar>
          </w:tcPr>
          <w:p w14:paraId="0383A43F"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80" w:type="dxa"/>
            <w:tcMar>
              <w:top w:w="100" w:type="dxa"/>
              <w:left w:w="100" w:type="dxa"/>
              <w:bottom w:w="100" w:type="dxa"/>
              <w:right w:w="100" w:type="dxa"/>
            </w:tcMar>
          </w:tcPr>
          <w:p w14:paraId="6C40C8EB"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80" w:type="dxa"/>
            <w:tcMar>
              <w:top w:w="100" w:type="dxa"/>
              <w:left w:w="100" w:type="dxa"/>
              <w:bottom w:w="100" w:type="dxa"/>
              <w:right w:w="100" w:type="dxa"/>
            </w:tcMar>
          </w:tcPr>
          <w:p w14:paraId="0C68DCE1"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79" w:type="dxa"/>
            <w:tcMar>
              <w:top w:w="100" w:type="dxa"/>
              <w:left w:w="100" w:type="dxa"/>
              <w:bottom w:w="100" w:type="dxa"/>
              <w:right w:w="100" w:type="dxa"/>
            </w:tcMar>
          </w:tcPr>
          <w:p w14:paraId="2DEE60CE"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80" w:type="dxa"/>
            <w:tcMar>
              <w:top w:w="100" w:type="dxa"/>
              <w:left w:w="100" w:type="dxa"/>
              <w:bottom w:w="100" w:type="dxa"/>
              <w:right w:w="100" w:type="dxa"/>
            </w:tcMar>
          </w:tcPr>
          <w:p w14:paraId="2D049A1A" w14:textId="77777777" w:rsidR="00BA3FBD" w:rsidRDefault="00BA3FBD">
            <w:pPr>
              <w:widowControl w:val="0"/>
              <w:pBdr>
                <w:top w:val="nil"/>
                <w:left w:val="nil"/>
                <w:bottom w:val="nil"/>
                <w:right w:val="nil"/>
                <w:between w:val="nil"/>
              </w:pBdr>
              <w:rPr>
                <w:rFonts w:ascii="Garamond" w:eastAsia="Garamond" w:hAnsi="Garamond" w:cs="Garamond"/>
                <w:color w:val="000000"/>
              </w:rPr>
            </w:pPr>
          </w:p>
        </w:tc>
      </w:tr>
      <w:tr w:rsidR="00BA3FBD" w14:paraId="065DF1B5" w14:textId="77777777">
        <w:trPr>
          <w:trHeight w:val="500"/>
        </w:trPr>
        <w:tc>
          <w:tcPr>
            <w:tcW w:w="3060" w:type="dxa"/>
            <w:tcMar>
              <w:top w:w="100" w:type="dxa"/>
              <w:left w:w="100" w:type="dxa"/>
              <w:bottom w:w="100" w:type="dxa"/>
              <w:right w:w="100" w:type="dxa"/>
            </w:tcMar>
          </w:tcPr>
          <w:p w14:paraId="0C7501A2" w14:textId="77777777" w:rsidR="00BA3FBD" w:rsidRDefault="00000000">
            <w:pPr>
              <w:widowControl w:val="0"/>
              <w:pBdr>
                <w:top w:val="nil"/>
                <w:left w:val="nil"/>
                <w:bottom w:val="nil"/>
                <w:right w:val="nil"/>
                <w:between w:val="nil"/>
              </w:pBdr>
              <w:spacing w:line="240" w:lineRule="auto"/>
              <w:ind w:left="138"/>
              <w:rPr>
                <w:rFonts w:ascii="Garamond" w:eastAsia="Garamond" w:hAnsi="Garamond" w:cs="Garamond"/>
                <w:b/>
                <w:color w:val="000000"/>
              </w:rPr>
            </w:pPr>
            <w:r>
              <w:rPr>
                <w:rFonts w:ascii="Garamond" w:eastAsia="Garamond" w:hAnsi="Garamond" w:cs="Garamond"/>
                <w:b/>
                <w:color w:val="000000"/>
              </w:rPr>
              <w:t>Implementation Activities</w:t>
            </w:r>
          </w:p>
        </w:tc>
        <w:tc>
          <w:tcPr>
            <w:tcW w:w="600" w:type="dxa"/>
            <w:tcMar>
              <w:top w:w="100" w:type="dxa"/>
              <w:left w:w="100" w:type="dxa"/>
              <w:bottom w:w="100" w:type="dxa"/>
              <w:right w:w="100" w:type="dxa"/>
            </w:tcMar>
          </w:tcPr>
          <w:p w14:paraId="7FCC52D4" w14:textId="77777777" w:rsidR="00BA3FBD" w:rsidRDefault="00BA3FBD">
            <w:pPr>
              <w:widowControl w:val="0"/>
              <w:pBdr>
                <w:top w:val="nil"/>
                <w:left w:val="nil"/>
                <w:bottom w:val="nil"/>
                <w:right w:val="nil"/>
                <w:between w:val="nil"/>
              </w:pBdr>
              <w:rPr>
                <w:rFonts w:ascii="Garamond" w:eastAsia="Garamond" w:hAnsi="Garamond" w:cs="Garamond"/>
                <w:b/>
                <w:color w:val="000000"/>
              </w:rPr>
            </w:pPr>
          </w:p>
        </w:tc>
        <w:tc>
          <w:tcPr>
            <w:tcW w:w="480" w:type="dxa"/>
            <w:tcMar>
              <w:top w:w="100" w:type="dxa"/>
              <w:left w:w="100" w:type="dxa"/>
              <w:bottom w:w="100" w:type="dxa"/>
              <w:right w:w="100" w:type="dxa"/>
            </w:tcMar>
          </w:tcPr>
          <w:p w14:paraId="5C928AF2" w14:textId="77777777" w:rsidR="00BA3FBD" w:rsidRDefault="00BA3FBD">
            <w:pPr>
              <w:widowControl w:val="0"/>
              <w:pBdr>
                <w:top w:val="nil"/>
                <w:left w:val="nil"/>
                <w:bottom w:val="nil"/>
                <w:right w:val="nil"/>
                <w:between w:val="nil"/>
              </w:pBdr>
              <w:rPr>
                <w:rFonts w:ascii="Garamond" w:eastAsia="Garamond" w:hAnsi="Garamond" w:cs="Garamond"/>
                <w:b/>
                <w:color w:val="000000"/>
              </w:rPr>
            </w:pPr>
          </w:p>
        </w:tc>
        <w:tc>
          <w:tcPr>
            <w:tcW w:w="480" w:type="dxa"/>
            <w:tcMar>
              <w:top w:w="100" w:type="dxa"/>
              <w:left w:w="100" w:type="dxa"/>
              <w:bottom w:w="100" w:type="dxa"/>
              <w:right w:w="100" w:type="dxa"/>
            </w:tcMar>
          </w:tcPr>
          <w:p w14:paraId="7CE95062" w14:textId="77777777" w:rsidR="00BA3FBD" w:rsidRDefault="00BA3FBD">
            <w:pPr>
              <w:widowControl w:val="0"/>
              <w:pBdr>
                <w:top w:val="nil"/>
                <w:left w:val="nil"/>
                <w:bottom w:val="nil"/>
                <w:right w:val="nil"/>
                <w:between w:val="nil"/>
              </w:pBdr>
              <w:rPr>
                <w:rFonts w:ascii="Garamond" w:eastAsia="Garamond" w:hAnsi="Garamond" w:cs="Garamond"/>
                <w:b/>
                <w:color w:val="000000"/>
              </w:rPr>
            </w:pPr>
          </w:p>
        </w:tc>
        <w:tc>
          <w:tcPr>
            <w:tcW w:w="480" w:type="dxa"/>
            <w:tcMar>
              <w:top w:w="100" w:type="dxa"/>
              <w:left w:w="100" w:type="dxa"/>
              <w:bottom w:w="100" w:type="dxa"/>
              <w:right w:w="100" w:type="dxa"/>
            </w:tcMar>
          </w:tcPr>
          <w:p w14:paraId="1DBDC414" w14:textId="77777777" w:rsidR="00BA3FBD" w:rsidRDefault="00BA3FBD">
            <w:pPr>
              <w:widowControl w:val="0"/>
              <w:pBdr>
                <w:top w:val="nil"/>
                <w:left w:val="nil"/>
                <w:bottom w:val="nil"/>
                <w:right w:val="nil"/>
                <w:between w:val="nil"/>
              </w:pBdr>
              <w:rPr>
                <w:rFonts w:ascii="Garamond" w:eastAsia="Garamond" w:hAnsi="Garamond" w:cs="Garamond"/>
                <w:b/>
                <w:color w:val="000000"/>
              </w:rPr>
            </w:pPr>
          </w:p>
        </w:tc>
        <w:tc>
          <w:tcPr>
            <w:tcW w:w="480" w:type="dxa"/>
            <w:tcMar>
              <w:top w:w="100" w:type="dxa"/>
              <w:left w:w="100" w:type="dxa"/>
              <w:bottom w:w="100" w:type="dxa"/>
              <w:right w:w="100" w:type="dxa"/>
            </w:tcMar>
          </w:tcPr>
          <w:p w14:paraId="1417EC24" w14:textId="77777777" w:rsidR="00BA3FBD" w:rsidRDefault="00BA3FBD">
            <w:pPr>
              <w:widowControl w:val="0"/>
              <w:pBdr>
                <w:top w:val="nil"/>
                <w:left w:val="nil"/>
                <w:bottom w:val="nil"/>
                <w:right w:val="nil"/>
                <w:between w:val="nil"/>
              </w:pBdr>
              <w:rPr>
                <w:rFonts w:ascii="Garamond" w:eastAsia="Garamond" w:hAnsi="Garamond" w:cs="Garamond"/>
                <w:b/>
                <w:color w:val="000000"/>
              </w:rPr>
            </w:pPr>
          </w:p>
        </w:tc>
        <w:tc>
          <w:tcPr>
            <w:tcW w:w="480" w:type="dxa"/>
            <w:tcMar>
              <w:top w:w="100" w:type="dxa"/>
              <w:left w:w="100" w:type="dxa"/>
              <w:bottom w:w="100" w:type="dxa"/>
              <w:right w:w="100" w:type="dxa"/>
            </w:tcMar>
          </w:tcPr>
          <w:p w14:paraId="74CACF62" w14:textId="77777777" w:rsidR="00BA3FBD" w:rsidRDefault="00BA3FBD">
            <w:pPr>
              <w:widowControl w:val="0"/>
              <w:pBdr>
                <w:top w:val="nil"/>
                <w:left w:val="nil"/>
                <w:bottom w:val="nil"/>
                <w:right w:val="nil"/>
                <w:between w:val="nil"/>
              </w:pBdr>
              <w:rPr>
                <w:rFonts w:ascii="Garamond" w:eastAsia="Garamond" w:hAnsi="Garamond" w:cs="Garamond"/>
                <w:b/>
                <w:color w:val="000000"/>
              </w:rPr>
            </w:pPr>
          </w:p>
        </w:tc>
        <w:tc>
          <w:tcPr>
            <w:tcW w:w="480" w:type="dxa"/>
            <w:tcMar>
              <w:top w:w="100" w:type="dxa"/>
              <w:left w:w="100" w:type="dxa"/>
              <w:bottom w:w="100" w:type="dxa"/>
              <w:right w:w="100" w:type="dxa"/>
            </w:tcMar>
          </w:tcPr>
          <w:p w14:paraId="2382C62F" w14:textId="77777777" w:rsidR="00BA3FBD" w:rsidRDefault="00BA3FBD">
            <w:pPr>
              <w:widowControl w:val="0"/>
              <w:pBdr>
                <w:top w:val="nil"/>
                <w:left w:val="nil"/>
                <w:bottom w:val="nil"/>
                <w:right w:val="nil"/>
                <w:between w:val="nil"/>
              </w:pBdr>
              <w:rPr>
                <w:rFonts w:ascii="Garamond" w:eastAsia="Garamond" w:hAnsi="Garamond" w:cs="Garamond"/>
                <w:b/>
                <w:color w:val="000000"/>
              </w:rPr>
            </w:pPr>
          </w:p>
        </w:tc>
        <w:tc>
          <w:tcPr>
            <w:tcW w:w="480" w:type="dxa"/>
            <w:tcMar>
              <w:top w:w="100" w:type="dxa"/>
              <w:left w:w="100" w:type="dxa"/>
              <w:bottom w:w="100" w:type="dxa"/>
              <w:right w:w="100" w:type="dxa"/>
            </w:tcMar>
          </w:tcPr>
          <w:p w14:paraId="6AF9BBFC" w14:textId="77777777" w:rsidR="00BA3FBD" w:rsidRDefault="00BA3FBD">
            <w:pPr>
              <w:widowControl w:val="0"/>
              <w:pBdr>
                <w:top w:val="nil"/>
                <w:left w:val="nil"/>
                <w:bottom w:val="nil"/>
                <w:right w:val="nil"/>
                <w:between w:val="nil"/>
              </w:pBdr>
              <w:rPr>
                <w:rFonts w:ascii="Garamond" w:eastAsia="Garamond" w:hAnsi="Garamond" w:cs="Garamond"/>
                <w:b/>
                <w:color w:val="000000"/>
              </w:rPr>
            </w:pPr>
          </w:p>
        </w:tc>
        <w:tc>
          <w:tcPr>
            <w:tcW w:w="480" w:type="dxa"/>
            <w:tcMar>
              <w:top w:w="100" w:type="dxa"/>
              <w:left w:w="100" w:type="dxa"/>
              <w:bottom w:w="100" w:type="dxa"/>
              <w:right w:w="100" w:type="dxa"/>
            </w:tcMar>
          </w:tcPr>
          <w:p w14:paraId="09AD9442" w14:textId="77777777" w:rsidR="00BA3FBD" w:rsidRDefault="00BA3FBD">
            <w:pPr>
              <w:widowControl w:val="0"/>
              <w:pBdr>
                <w:top w:val="nil"/>
                <w:left w:val="nil"/>
                <w:bottom w:val="nil"/>
                <w:right w:val="nil"/>
                <w:between w:val="nil"/>
              </w:pBdr>
              <w:rPr>
                <w:rFonts w:ascii="Garamond" w:eastAsia="Garamond" w:hAnsi="Garamond" w:cs="Garamond"/>
                <w:b/>
                <w:color w:val="000000"/>
              </w:rPr>
            </w:pPr>
          </w:p>
        </w:tc>
        <w:tc>
          <w:tcPr>
            <w:tcW w:w="480" w:type="dxa"/>
            <w:tcMar>
              <w:top w:w="100" w:type="dxa"/>
              <w:left w:w="100" w:type="dxa"/>
              <w:bottom w:w="100" w:type="dxa"/>
              <w:right w:w="100" w:type="dxa"/>
            </w:tcMar>
          </w:tcPr>
          <w:p w14:paraId="631D560E" w14:textId="77777777" w:rsidR="00BA3FBD" w:rsidRDefault="00BA3FBD">
            <w:pPr>
              <w:widowControl w:val="0"/>
              <w:pBdr>
                <w:top w:val="nil"/>
                <w:left w:val="nil"/>
                <w:bottom w:val="nil"/>
                <w:right w:val="nil"/>
                <w:between w:val="nil"/>
              </w:pBdr>
              <w:rPr>
                <w:rFonts w:ascii="Garamond" w:eastAsia="Garamond" w:hAnsi="Garamond" w:cs="Garamond"/>
                <w:b/>
                <w:color w:val="000000"/>
              </w:rPr>
            </w:pPr>
          </w:p>
        </w:tc>
        <w:tc>
          <w:tcPr>
            <w:tcW w:w="480" w:type="dxa"/>
            <w:tcMar>
              <w:top w:w="100" w:type="dxa"/>
              <w:left w:w="100" w:type="dxa"/>
              <w:bottom w:w="100" w:type="dxa"/>
              <w:right w:w="100" w:type="dxa"/>
            </w:tcMar>
          </w:tcPr>
          <w:p w14:paraId="777B4C1F" w14:textId="77777777" w:rsidR="00BA3FBD" w:rsidRDefault="00BA3FBD">
            <w:pPr>
              <w:widowControl w:val="0"/>
              <w:pBdr>
                <w:top w:val="nil"/>
                <w:left w:val="nil"/>
                <w:bottom w:val="nil"/>
                <w:right w:val="nil"/>
                <w:between w:val="nil"/>
              </w:pBdr>
              <w:rPr>
                <w:rFonts w:ascii="Garamond" w:eastAsia="Garamond" w:hAnsi="Garamond" w:cs="Garamond"/>
                <w:b/>
                <w:color w:val="000000"/>
              </w:rPr>
            </w:pPr>
          </w:p>
        </w:tc>
        <w:tc>
          <w:tcPr>
            <w:tcW w:w="479" w:type="dxa"/>
            <w:tcMar>
              <w:top w:w="100" w:type="dxa"/>
              <w:left w:w="100" w:type="dxa"/>
              <w:bottom w:w="100" w:type="dxa"/>
              <w:right w:w="100" w:type="dxa"/>
            </w:tcMar>
          </w:tcPr>
          <w:p w14:paraId="502436D3" w14:textId="77777777" w:rsidR="00BA3FBD" w:rsidRDefault="00BA3FBD">
            <w:pPr>
              <w:widowControl w:val="0"/>
              <w:pBdr>
                <w:top w:val="nil"/>
                <w:left w:val="nil"/>
                <w:bottom w:val="nil"/>
                <w:right w:val="nil"/>
                <w:between w:val="nil"/>
              </w:pBdr>
              <w:rPr>
                <w:rFonts w:ascii="Garamond" w:eastAsia="Garamond" w:hAnsi="Garamond" w:cs="Garamond"/>
                <w:b/>
                <w:color w:val="000000"/>
              </w:rPr>
            </w:pPr>
          </w:p>
        </w:tc>
        <w:tc>
          <w:tcPr>
            <w:tcW w:w="480" w:type="dxa"/>
            <w:tcMar>
              <w:top w:w="100" w:type="dxa"/>
              <w:left w:w="100" w:type="dxa"/>
              <w:bottom w:w="100" w:type="dxa"/>
              <w:right w:w="100" w:type="dxa"/>
            </w:tcMar>
          </w:tcPr>
          <w:p w14:paraId="18581658" w14:textId="77777777" w:rsidR="00BA3FBD" w:rsidRDefault="00BA3FBD">
            <w:pPr>
              <w:widowControl w:val="0"/>
              <w:pBdr>
                <w:top w:val="nil"/>
                <w:left w:val="nil"/>
                <w:bottom w:val="nil"/>
                <w:right w:val="nil"/>
                <w:between w:val="nil"/>
              </w:pBdr>
              <w:rPr>
                <w:rFonts w:ascii="Garamond" w:eastAsia="Garamond" w:hAnsi="Garamond" w:cs="Garamond"/>
                <w:b/>
                <w:color w:val="000000"/>
              </w:rPr>
            </w:pPr>
          </w:p>
        </w:tc>
      </w:tr>
      <w:tr w:rsidR="00BA3FBD" w14:paraId="555DF945" w14:textId="77777777">
        <w:trPr>
          <w:trHeight w:val="500"/>
        </w:trPr>
        <w:tc>
          <w:tcPr>
            <w:tcW w:w="3060" w:type="dxa"/>
            <w:tcMar>
              <w:top w:w="100" w:type="dxa"/>
              <w:left w:w="100" w:type="dxa"/>
              <w:bottom w:w="100" w:type="dxa"/>
              <w:right w:w="100" w:type="dxa"/>
            </w:tcMar>
          </w:tcPr>
          <w:p w14:paraId="5D0E6805" w14:textId="77777777" w:rsidR="00BA3FBD" w:rsidRDefault="00000000">
            <w:pPr>
              <w:widowControl w:val="0"/>
              <w:pBdr>
                <w:top w:val="nil"/>
                <w:left w:val="nil"/>
                <w:bottom w:val="nil"/>
                <w:right w:val="nil"/>
                <w:between w:val="nil"/>
              </w:pBdr>
              <w:spacing w:line="240" w:lineRule="auto"/>
              <w:ind w:left="498"/>
              <w:rPr>
                <w:rFonts w:ascii="Garamond" w:eastAsia="Garamond" w:hAnsi="Garamond" w:cs="Garamond"/>
                <w:color w:val="000000"/>
              </w:rPr>
            </w:pPr>
            <w:r>
              <w:rPr>
                <w:rFonts w:ascii="Garamond" w:eastAsia="Garamond" w:hAnsi="Garamond" w:cs="Garamond"/>
                <w:color w:val="000000"/>
              </w:rPr>
              <w:t xml:space="preserve">Study Enrollment </w:t>
            </w:r>
          </w:p>
        </w:tc>
        <w:tc>
          <w:tcPr>
            <w:tcW w:w="600" w:type="dxa"/>
            <w:tcMar>
              <w:top w:w="100" w:type="dxa"/>
              <w:left w:w="100" w:type="dxa"/>
              <w:bottom w:w="100" w:type="dxa"/>
              <w:right w:w="100" w:type="dxa"/>
            </w:tcMar>
          </w:tcPr>
          <w:p w14:paraId="0CB97BA9"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80" w:type="dxa"/>
            <w:tcMar>
              <w:top w:w="100" w:type="dxa"/>
              <w:left w:w="100" w:type="dxa"/>
              <w:bottom w:w="100" w:type="dxa"/>
              <w:right w:w="100" w:type="dxa"/>
            </w:tcMar>
          </w:tcPr>
          <w:p w14:paraId="42C9AED4"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 xml:space="preserve">X </w:t>
            </w:r>
          </w:p>
        </w:tc>
        <w:tc>
          <w:tcPr>
            <w:tcW w:w="480" w:type="dxa"/>
            <w:tcMar>
              <w:top w:w="100" w:type="dxa"/>
              <w:left w:w="100" w:type="dxa"/>
              <w:bottom w:w="100" w:type="dxa"/>
              <w:right w:w="100" w:type="dxa"/>
            </w:tcMar>
          </w:tcPr>
          <w:p w14:paraId="4E44C9D7"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 xml:space="preserve">X </w:t>
            </w:r>
          </w:p>
        </w:tc>
        <w:tc>
          <w:tcPr>
            <w:tcW w:w="480" w:type="dxa"/>
            <w:tcMar>
              <w:top w:w="100" w:type="dxa"/>
              <w:left w:w="100" w:type="dxa"/>
              <w:bottom w:w="100" w:type="dxa"/>
              <w:right w:w="100" w:type="dxa"/>
            </w:tcMar>
          </w:tcPr>
          <w:p w14:paraId="40001A3E"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 xml:space="preserve">X </w:t>
            </w:r>
          </w:p>
        </w:tc>
        <w:tc>
          <w:tcPr>
            <w:tcW w:w="480" w:type="dxa"/>
            <w:tcMar>
              <w:top w:w="100" w:type="dxa"/>
              <w:left w:w="100" w:type="dxa"/>
              <w:bottom w:w="100" w:type="dxa"/>
              <w:right w:w="100" w:type="dxa"/>
            </w:tcMar>
          </w:tcPr>
          <w:p w14:paraId="5EFB8DE5"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 xml:space="preserve">X </w:t>
            </w:r>
          </w:p>
        </w:tc>
        <w:tc>
          <w:tcPr>
            <w:tcW w:w="480" w:type="dxa"/>
            <w:tcMar>
              <w:top w:w="100" w:type="dxa"/>
              <w:left w:w="100" w:type="dxa"/>
              <w:bottom w:w="100" w:type="dxa"/>
              <w:right w:w="100" w:type="dxa"/>
            </w:tcMar>
          </w:tcPr>
          <w:p w14:paraId="737F6E11"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 xml:space="preserve">X </w:t>
            </w:r>
          </w:p>
        </w:tc>
        <w:tc>
          <w:tcPr>
            <w:tcW w:w="480" w:type="dxa"/>
            <w:tcMar>
              <w:top w:w="100" w:type="dxa"/>
              <w:left w:w="100" w:type="dxa"/>
              <w:bottom w:w="100" w:type="dxa"/>
              <w:right w:w="100" w:type="dxa"/>
            </w:tcMar>
          </w:tcPr>
          <w:p w14:paraId="7AAE873F"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 xml:space="preserve">X </w:t>
            </w:r>
          </w:p>
        </w:tc>
        <w:tc>
          <w:tcPr>
            <w:tcW w:w="480" w:type="dxa"/>
            <w:tcMar>
              <w:top w:w="100" w:type="dxa"/>
              <w:left w:w="100" w:type="dxa"/>
              <w:bottom w:w="100" w:type="dxa"/>
              <w:right w:w="100" w:type="dxa"/>
            </w:tcMar>
          </w:tcPr>
          <w:p w14:paraId="14876C82"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 xml:space="preserve">X </w:t>
            </w:r>
          </w:p>
        </w:tc>
        <w:tc>
          <w:tcPr>
            <w:tcW w:w="480" w:type="dxa"/>
            <w:tcMar>
              <w:top w:w="100" w:type="dxa"/>
              <w:left w:w="100" w:type="dxa"/>
              <w:bottom w:w="100" w:type="dxa"/>
              <w:right w:w="100" w:type="dxa"/>
            </w:tcMar>
          </w:tcPr>
          <w:p w14:paraId="2A5A6B01"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X</w:t>
            </w:r>
          </w:p>
        </w:tc>
        <w:tc>
          <w:tcPr>
            <w:tcW w:w="480" w:type="dxa"/>
            <w:tcMar>
              <w:top w:w="100" w:type="dxa"/>
              <w:left w:w="100" w:type="dxa"/>
              <w:bottom w:w="100" w:type="dxa"/>
              <w:right w:w="100" w:type="dxa"/>
            </w:tcMar>
          </w:tcPr>
          <w:p w14:paraId="69C7CC8B"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80" w:type="dxa"/>
            <w:tcMar>
              <w:top w:w="100" w:type="dxa"/>
              <w:left w:w="100" w:type="dxa"/>
              <w:bottom w:w="100" w:type="dxa"/>
              <w:right w:w="100" w:type="dxa"/>
            </w:tcMar>
          </w:tcPr>
          <w:p w14:paraId="30FEDFC4"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79" w:type="dxa"/>
            <w:tcMar>
              <w:top w:w="100" w:type="dxa"/>
              <w:left w:w="100" w:type="dxa"/>
              <w:bottom w:w="100" w:type="dxa"/>
              <w:right w:w="100" w:type="dxa"/>
            </w:tcMar>
          </w:tcPr>
          <w:p w14:paraId="3CDB31ED"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80" w:type="dxa"/>
            <w:tcMar>
              <w:top w:w="100" w:type="dxa"/>
              <w:left w:w="100" w:type="dxa"/>
              <w:bottom w:w="100" w:type="dxa"/>
              <w:right w:w="100" w:type="dxa"/>
            </w:tcMar>
          </w:tcPr>
          <w:p w14:paraId="40173521" w14:textId="77777777" w:rsidR="00BA3FBD" w:rsidRDefault="00BA3FBD">
            <w:pPr>
              <w:widowControl w:val="0"/>
              <w:pBdr>
                <w:top w:val="nil"/>
                <w:left w:val="nil"/>
                <w:bottom w:val="nil"/>
                <w:right w:val="nil"/>
                <w:between w:val="nil"/>
              </w:pBdr>
              <w:rPr>
                <w:rFonts w:ascii="Garamond" w:eastAsia="Garamond" w:hAnsi="Garamond" w:cs="Garamond"/>
                <w:color w:val="000000"/>
              </w:rPr>
            </w:pPr>
          </w:p>
        </w:tc>
      </w:tr>
      <w:tr w:rsidR="00BA3FBD" w14:paraId="5F8067CF" w14:textId="77777777">
        <w:trPr>
          <w:trHeight w:val="500"/>
        </w:trPr>
        <w:tc>
          <w:tcPr>
            <w:tcW w:w="3060" w:type="dxa"/>
            <w:tcMar>
              <w:top w:w="100" w:type="dxa"/>
              <w:left w:w="100" w:type="dxa"/>
              <w:bottom w:w="100" w:type="dxa"/>
              <w:right w:w="100" w:type="dxa"/>
            </w:tcMar>
          </w:tcPr>
          <w:p w14:paraId="1130B472" w14:textId="77777777" w:rsidR="00BA3FBD" w:rsidRDefault="00000000">
            <w:pPr>
              <w:widowControl w:val="0"/>
              <w:pBdr>
                <w:top w:val="nil"/>
                <w:left w:val="nil"/>
                <w:bottom w:val="nil"/>
                <w:right w:val="nil"/>
                <w:between w:val="nil"/>
              </w:pBdr>
              <w:spacing w:line="240" w:lineRule="auto"/>
              <w:ind w:left="499"/>
              <w:rPr>
                <w:rFonts w:ascii="Garamond" w:eastAsia="Garamond" w:hAnsi="Garamond" w:cs="Garamond"/>
                <w:color w:val="000000"/>
              </w:rPr>
            </w:pPr>
            <w:r>
              <w:rPr>
                <w:rFonts w:ascii="Garamond" w:eastAsia="Garamond" w:hAnsi="Garamond" w:cs="Garamond"/>
                <w:color w:val="000000"/>
              </w:rPr>
              <w:t xml:space="preserve">Cash Transfers </w:t>
            </w:r>
          </w:p>
        </w:tc>
        <w:tc>
          <w:tcPr>
            <w:tcW w:w="600" w:type="dxa"/>
            <w:tcMar>
              <w:top w:w="100" w:type="dxa"/>
              <w:left w:w="100" w:type="dxa"/>
              <w:bottom w:w="100" w:type="dxa"/>
              <w:right w:w="100" w:type="dxa"/>
            </w:tcMar>
          </w:tcPr>
          <w:p w14:paraId="14872DDE"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80" w:type="dxa"/>
            <w:tcMar>
              <w:top w:w="100" w:type="dxa"/>
              <w:left w:w="100" w:type="dxa"/>
              <w:bottom w:w="100" w:type="dxa"/>
              <w:right w:w="100" w:type="dxa"/>
            </w:tcMar>
          </w:tcPr>
          <w:p w14:paraId="20F756D2"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 xml:space="preserve">X </w:t>
            </w:r>
          </w:p>
        </w:tc>
        <w:tc>
          <w:tcPr>
            <w:tcW w:w="480" w:type="dxa"/>
            <w:tcMar>
              <w:top w:w="100" w:type="dxa"/>
              <w:left w:w="100" w:type="dxa"/>
              <w:bottom w:w="100" w:type="dxa"/>
              <w:right w:w="100" w:type="dxa"/>
            </w:tcMar>
          </w:tcPr>
          <w:p w14:paraId="4BCA8078"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 xml:space="preserve">X </w:t>
            </w:r>
          </w:p>
        </w:tc>
        <w:tc>
          <w:tcPr>
            <w:tcW w:w="480" w:type="dxa"/>
            <w:tcMar>
              <w:top w:w="100" w:type="dxa"/>
              <w:left w:w="100" w:type="dxa"/>
              <w:bottom w:w="100" w:type="dxa"/>
              <w:right w:w="100" w:type="dxa"/>
            </w:tcMar>
          </w:tcPr>
          <w:p w14:paraId="32AF4EB1"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 xml:space="preserve">X </w:t>
            </w:r>
          </w:p>
        </w:tc>
        <w:tc>
          <w:tcPr>
            <w:tcW w:w="480" w:type="dxa"/>
            <w:tcMar>
              <w:top w:w="100" w:type="dxa"/>
              <w:left w:w="100" w:type="dxa"/>
              <w:bottom w:w="100" w:type="dxa"/>
              <w:right w:w="100" w:type="dxa"/>
            </w:tcMar>
          </w:tcPr>
          <w:p w14:paraId="0A6AA0A4"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 xml:space="preserve">X </w:t>
            </w:r>
          </w:p>
        </w:tc>
        <w:tc>
          <w:tcPr>
            <w:tcW w:w="480" w:type="dxa"/>
            <w:tcMar>
              <w:top w:w="100" w:type="dxa"/>
              <w:left w:w="100" w:type="dxa"/>
              <w:bottom w:w="100" w:type="dxa"/>
              <w:right w:w="100" w:type="dxa"/>
            </w:tcMar>
          </w:tcPr>
          <w:p w14:paraId="37A159DE"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 xml:space="preserve">X </w:t>
            </w:r>
          </w:p>
        </w:tc>
        <w:tc>
          <w:tcPr>
            <w:tcW w:w="480" w:type="dxa"/>
            <w:tcMar>
              <w:top w:w="100" w:type="dxa"/>
              <w:left w:w="100" w:type="dxa"/>
              <w:bottom w:w="100" w:type="dxa"/>
              <w:right w:w="100" w:type="dxa"/>
            </w:tcMar>
          </w:tcPr>
          <w:p w14:paraId="44016C85"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 xml:space="preserve">X </w:t>
            </w:r>
          </w:p>
        </w:tc>
        <w:tc>
          <w:tcPr>
            <w:tcW w:w="480" w:type="dxa"/>
            <w:tcMar>
              <w:top w:w="100" w:type="dxa"/>
              <w:left w:w="100" w:type="dxa"/>
              <w:bottom w:w="100" w:type="dxa"/>
              <w:right w:w="100" w:type="dxa"/>
            </w:tcMar>
          </w:tcPr>
          <w:p w14:paraId="05AD001D"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 xml:space="preserve">X </w:t>
            </w:r>
          </w:p>
        </w:tc>
        <w:tc>
          <w:tcPr>
            <w:tcW w:w="480" w:type="dxa"/>
            <w:tcMar>
              <w:top w:w="100" w:type="dxa"/>
              <w:left w:w="100" w:type="dxa"/>
              <w:bottom w:w="100" w:type="dxa"/>
              <w:right w:w="100" w:type="dxa"/>
            </w:tcMar>
          </w:tcPr>
          <w:p w14:paraId="58EA0B2F"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 xml:space="preserve">X </w:t>
            </w:r>
          </w:p>
        </w:tc>
        <w:tc>
          <w:tcPr>
            <w:tcW w:w="480" w:type="dxa"/>
            <w:tcMar>
              <w:top w:w="100" w:type="dxa"/>
              <w:left w:w="100" w:type="dxa"/>
              <w:bottom w:w="100" w:type="dxa"/>
              <w:right w:w="100" w:type="dxa"/>
            </w:tcMar>
          </w:tcPr>
          <w:p w14:paraId="25BC0230"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 xml:space="preserve">X </w:t>
            </w:r>
          </w:p>
        </w:tc>
        <w:tc>
          <w:tcPr>
            <w:tcW w:w="480" w:type="dxa"/>
            <w:tcMar>
              <w:top w:w="100" w:type="dxa"/>
              <w:left w:w="100" w:type="dxa"/>
              <w:bottom w:w="100" w:type="dxa"/>
              <w:right w:w="100" w:type="dxa"/>
            </w:tcMar>
          </w:tcPr>
          <w:p w14:paraId="38ACA56F"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 xml:space="preserve">X </w:t>
            </w:r>
          </w:p>
        </w:tc>
        <w:tc>
          <w:tcPr>
            <w:tcW w:w="479" w:type="dxa"/>
            <w:tcMar>
              <w:top w:w="100" w:type="dxa"/>
              <w:left w:w="100" w:type="dxa"/>
              <w:bottom w:w="100" w:type="dxa"/>
              <w:right w:w="100" w:type="dxa"/>
            </w:tcMar>
          </w:tcPr>
          <w:p w14:paraId="52535D6D"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 xml:space="preserve">X </w:t>
            </w:r>
          </w:p>
        </w:tc>
        <w:tc>
          <w:tcPr>
            <w:tcW w:w="480" w:type="dxa"/>
            <w:tcMar>
              <w:top w:w="100" w:type="dxa"/>
              <w:left w:w="100" w:type="dxa"/>
              <w:bottom w:w="100" w:type="dxa"/>
              <w:right w:w="100" w:type="dxa"/>
            </w:tcMar>
          </w:tcPr>
          <w:p w14:paraId="63341116"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X</w:t>
            </w:r>
          </w:p>
        </w:tc>
      </w:tr>
      <w:tr w:rsidR="00BA3FBD" w14:paraId="38413453" w14:textId="77777777">
        <w:trPr>
          <w:trHeight w:val="500"/>
        </w:trPr>
        <w:tc>
          <w:tcPr>
            <w:tcW w:w="3060" w:type="dxa"/>
            <w:tcMar>
              <w:top w:w="100" w:type="dxa"/>
              <w:left w:w="100" w:type="dxa"/>
              <w:bottom w:w="100" w:type="dxa"/>
              <w:right w:w="100" w:type="dxa"/>
            </w:tcMar>
          </w:tcPr>
          <w:p w14:paraId="5C1B62D7" w14:textId="77777777" w:rsidR="00BA3FBD" w:rsidRDefault="00000000">
            <w:pPr>
              <w:widowControl w:val="0"/>
              <w:pBdr>
                <w:top w:val="nil"/>
                <w:left w:val="nil"/>
                <w:bottom w:val="nil"/>
                <w:right w:val="nil"/>
                <w:between w:val="nil"/>
              </w:pBdr>
              <w:spacing w:line="240" w:lineRule="auto"/>
              <w:ind w:left="141"/>
              <w:rPr>
                <w:rFonts w:ascii="Garamond" w:eastAsia="Garamond" w:hAnsi="Garamond" w:cs="Garamond"/>
                <w:b/>
                <w:color w:val="000000"/>
              </w:rPr>
            </w:pPr>
            <w:r>
              <w:rPr>
                <w:rFonts w:ascii="Garamond" w:eastAsia="Garamond" w:hAnsi="Garamond" w:cs="Garamond"/>
                <w:b/>
                <w:color w:val="000000"/>
              </w:rPr>
              <w:t>Surveys</w:t>
            </w:r>
          </w:p>
        </w:tc>
        <w:tc>
          <w:tcPr>
            <w:tcW w:w="600" w:type="dxa"/>
            <w:tcMar>
              <w:top w:w="100" w:type="dxa"/>
              <w:left w:w="100" w:type="dxa"/>
              <w:bottom w:w="100" w:type="dxa"/>
              <w:right w:w="100" w:type="dxa"/>
            </w:tcMar>
          </w:tcPr>
          <w:p w14:paraId="21ABA880" w14:textId="77777777" w:rsidR="00BA3FBD" w:rsidRDefault="00BA3FBD">
            <w:pPr>
              <w:widowControl w:val="0"/>
              <w:pBdr>
                <w:top w:val="nil"/>
                <w:left w:val="nil"/>
                <w:bottom w:val="nil"/>
                <w:right w:val="nil"/>
                <w:between w:val="nil"/>
              </w:pBdr>
              <w:rPr>
                <w:rFonts w:ascii="Garamond" w:eastAsia="Garamond" w:hAnsi="Garamond" w:cs="Garamond"/>
                <w:b/>
                <w:color w:val="000000"/>
              </w:rPr>
            </w:pPr>
          </w:p>
        </w:tc>
        <w:tc>
          <w:tcPr>
            <w:tcW w:w="480" w:type="dxa"/>
            <w:tcMar>
              <w:top w:w="100" w:type="dxa"/>
              <w:left w:w="100" w:type="dxa"/>
              <w:bottom w:w="100" w:type="dxa"/>
              <w:right w:w="100" w:type="dxa"/>
            </w:tcMar>
          </w:tcPr>
          <w:p w14:paraId="516BFA89" w14:textId="77777777" w:rsidR="00BA3FBD" w:rsidRDefault="00BA3FBD">
            <w:pPr>
              <w:widowControl w:val="0"/>
              <w:pBdr>
                <w:top w:val="nil"/>
                <w:left w:val="nil"/>
                <w:bottom w:val="nil"/>
                <w:right w:val="nil"/>
                <w:between w:val="nil"/>
              </w:pBdr>
              <w:rPr>
                <w:rFonts w:ascii="Garamond" w:eastAsia="Garamond" w:hAnsi="Garamond" w:cs="Garamond"/>
                <w:b/>
                <w:color w:val="000000"/>
              </w:rPr>
            </w:pPr>
          </w:p>
        </w:tc>
        <w:tc>
          <w:tcPr>
            <w:tcW w:w="480" w:type="dxa"/>
            <w:tcMar>
              <w:top w:w="100" w:type="dxa"/>
              <w:left w:w="100" w:type="dxa"/>
              <w:bottom w:w="100" w:type="dxa"/>
              <w:right w:w="100" w:type="dxa"/>
            </w:tcMar>
          </w:tcPr>
          <w:p w14:paraId="367730E9" w14:textId="77777777" w:rsidR="00BA3FBD" w:rsidRDefault="00BA3FBD">
            <w:pPr>
              <w:widowControl w:val="0"/>
              <w:pBdr>
                <w:top w:val="nil"/>
                <w:left w:val="nil"/>
                <w:bottom w:val="nil"/>
                <w:right w:val="nil"/>
                <w:between w:val="nil"/>
              </w:pBdr>
              <w:rPr>
                <w:rFonts w:ascii="Garamond" w:eastAsia="Garamond" w:hAnsi="Garamond" w:cs="Garamond"/>
                <w:b/>
                <w:color w:val="000000"/>
              </w:rPr>
            </w:pPr>
          </w:p>
        </w:tc>
        <w:tc>
          <w:tcPr>
            <w:tcW w:w="480" w:type="dxa"/>
            <w:tcMar>
              <w:top w:w="100" w:type="dxa"/>
              <w:left w:w="100" w:type="dxa"/>
              <w:bottom w:w="100" w:type="dxa"/>
              <w:right w:w="100" w:type="dxa"/>
            </w:tcMar>
          </w:tcPr>
          <w:p w14:paraId="159C3E01" w14:textId="77777777" w:rsidR="00BA3FBD" w:rsidRDefault="00BA3FBD">
            <w:pPr>
              <w:widowControl w:val="0"/>
              <w:pBdr>
                <w:top w:val="nil"/>
                <w:left w:val="nil"/>
                <w:bottom w:val="nil"/>
                <w:right w:val="nil"/>
                <w:between w:val="nil"/>
              </w:pBdr>
              <w:rPr>
                <w:rFonts w:ascii="Garamond" w:eastAsia="Garamond" w:hAnsi="Garamond" w:cs="Garamond"/>
                <w:b/>
                <w:color w:val="000000"/>
              </w:rPr>
            </w:pPr>
          </w:p>
        </w:tc>
        <w:tc>
          <w:tcPr>
            <w:tcW w:w="480" w:type="dxa"/>
            <w:tcMar>
              <w:top w:w="100" w:type="dxa"/>
              <w:left w:w="100" w:type="dxa"/>
              <w:bottom w:w="100" w:type="dxa"/>
              <w:right w:w="100" w:type="dxa"/>
            </w:tcMar>
          </w:tcPr>
          <w:p w14:paraId="26035A4C" w14:textId="77777777" w:rsidR="00BA3FBD" w:rsidRDefault="00BA3FBD">
            <w:pPr>
              <w:widowControl w:val="0"/>
              <w:pBdr>
                <w:top w:val="nil"/>
                <w:left w:val="nil"/>
                <w:bottom w:val="nil"/>
                <w:right w:val="nil"/>
                <w:between w:val="nil"/>
              </w:pBdr>
              <w:rPr>
                <w:rFonts w:ascii="Garamond" w:eastAsia="Garamond" w:hAnsi="Garamond" w:cs="Garamond"/>
                <w:b/>
                <w:color w:val="000000"/>
              </w:rPr>
            </w:pPr>
          </w:p>
        </w:tc>
        <w:tc>
          <w:tcPr>
            <w:tcW w:w="480" w:type="dxa"/>
            <w:tcMar>
              <w:top w:w="100" w:type="dxa"/>
              <w:left w:w="100" w:type="dxa"/>
              <w:bottom w:w="100" w:type="dxa"/>
              <w:right w:w="100" w:type="dxa"/>
            </w:tcMar>
          </w:tcPr>
          <w:p w14:paraId="69ABD658" w14:textId="77777777" w:rsidR="00BA3FBD" w:rsidRDefault="00BA3FBD">
            <w:pPr>
              <w:widowControl w:val="0"/>
              <w:pBdr>
                <w:top w:val="nil"/>
                <w:left w:val="nil"/>
                <w:bottom w:val="nil"/>
                <w:right w:val="nil"/>
                <w:between w:val="nil"/>
              </w:pBdr>
              <w:rPr>
                <w:rFonts w:ascii="Garamond" w:eastAsia="Garamond" w:hAnsi="Garamond" w:cs="Garamond"/>
                <w:b/>
                <w:color w:val="000000"/>
              </w:rPr>
            </w:pPr>
          </w:p>
        </w:tc>
        <w:tc>
          <w:tcPr>
            <w:tcW w:w="480" w:type="dxa"/>
            <w:tcMar>
              <w:top w:w="100" w:type="dxa"/>
              <w:left w:w="100" w:type="dxa"/>
              <w:bottom w:w="100" w:type="dxa"/>
              <w:right w:w="100" w:type="dxa"/>
            </w:tcMar>
          </w:tcPr>
          <w:p w14:paraId="004AEBC7" w14:textId="77777777" w:rsidR="00BA3FBD" w:rsidRDefault="00BA3FBD">
            <w:pPr>
              <w:widowControl w:val="0"/>
              <w:pBdr>
                <w:top w:val="nil"/>
                <w:left w:val="nil"/>
                <w:bottom w:val="nil"/>
                <w:right w:val="nil"/>
                <w:between w:val="nil"/>
              </w:pBdr>
              <w:rPr>
                <w:rFonts w:ascii="Garamond" w:eastAsia="Garamond" w:hAnsi="Garamond" w:cs="Garamond"/>
                <w:b/>
                <w:color w:val="000000"/>
              </w:rPr>
            </w:pPr>
          </w:p>
        </w:tc>
        <w:tc>
          <w:tcPr>
            <w:tcW w:w="480" w:type="dxa"/>
            <w:tcMar>
              <w:top w:w="100" w:type="dxa"/>
              <w:left w:w="100" w:type="dxa"/>
              <w:bottom w:w="100" w:type="dxa"/>
              <w:right w:w="100" w:type="dxa"/>
            </w:tcMar>
          </w:tcPr>
          <w:p w14:paraId="5543E3CB" w14:textId="77777777" w:rsidR="00BA3FBD" w:rsidRDefault="00BA3FBD">
            <w:pPr>
              <w:widowControl w:val="0"/>
              <w:pBdr>
                <w:top w:val="nil"/>
                <w:left w:val="nil"/>
                <w:bottom w:val="nil"/>
                <w:right w:val="nil"/>
                <w:between w:val="nil"/>
              </w:pBdr>
              <w:rPr>
                <w:rFonts w:ascii="Garamond" w:eastAsia="Garamond" w:hAnsi="Garamond" w:cs="Garamond"/>
                <w:b/>
                <w:color w:val="000000"/>
              </w:rPr>
            </w:pPr>
          </w:p>
        </w:tc>
        <w:tc>
          <w:tcPr>
            <w:tcW w:w="480" w:type="dxa"/>
            <w:tcMar>
              <w:top w:w="100" w:type="dxa"/>
              <w:left w:w="100" w:type="dxa"/>
              <w:bottom w:w="100" w:type="dxa"/>
              <w:right w:w="100" w:type="dxa"/>
            </w:tcMar>
          </w:tcPr>
          <w:p w14:paraId="2886CCEC" w14:textId="77777777" w:rsidR="00BA3FBD" w:rsidRDefault="00BA3FBD">
            <w:pPr>
              <w:widowControl w:val="0"/>
              <w:pBdr>
                <w:top w:val="nil"/>
                <w:left w:val="nil"/>
                <w:bottom w:val="nil"/>
                <w:right w:val="nil"/>
                <w:between w:val="nil"/>
              </w:pBdr>
              <w:rPr>
                <w:rFonts w:ascii="Garamond" w:eastAsia="Garamond" w:hAnsi="Garamond" w:cs="Garamond"/>
                <w:b/>
                <w:color w:val="000000"/>
              </w:rPr>
            </w:pPr>
          </w:p>
        </w:tc>
        <w:tc>
          <w:tcPr>
            <w:tcW w:w="480" w:type="dxa"/>
            <w:tcMar>
              <w:top w:w="100" w:type="dxa"/>
              <w:left w:w="100" w:type="dxa"/>
              <w:bottom w:w="100" w:type="dxa"/>
              <w:right w:w="100" w:type="dxa"/>
            </w:tcMar>
          </w:tcPr>
          <w:p w14:paraId="56704A5B" w14:textId="77777777" w:rsidR="00BA3FBD" w:rsidRDefault="00BA3FBD">
            <w:pPr>
              <w:widowControl w:val="0"/>
              <w:pBdr>
                <w:top w:val="nil"/>
                <w:left w:val="nil"/>
                <w:bottom w:val="nil"/>
                <w:right w:val="nil"/>
                <w:between w:val="nil"/>
              </w:pBdr>
              <w:rPr>
                <w:rFonts w:ascii="Garamond" w:eastAsia="Garamond" w:hAnsi="Garamond" w:cs="Garamond"/>
                <w:b/>
                <w:color w:val="000000"/>
              </w:rPr>
            </w:pPr>
          </w:p>
        </w:tc>
        <w:tc>
          <w:tcPr>
            <w:tcW w:w="480" w:type="dxa"/>
            <w:tcMar>
              <w:top w:w="100" w:type="dxa"/>
              <w:left w:w="100" w:type="dxa"/>
              <w:bottom w:w="100" w:type="dxa"/>
              <w:right w:w="100" w:type="dxa"/>
            </w:tcMar>
          </w:tcPr>
          <w:p w14:paraId="2CE16FFC" w14:textId="77777777" w:rsidR="00BA3FBD" w:rsidRDefault="00BA3FBD">
            <w:pPr>
              <w:widowControl w:val="0"/>
              <w:pBdr>
                <w:top w:val="nil"/>
                <w:left w:val="nil"/>
                <w:bottom w:val="nil"/>
                <w:right w:val="nil"/>
                <w:between w:val="nil"/>
              </w:pBdr>
              <w:rPr>
                <w:rFonts w:ascii="Garamond" w:eastAsia="Garamond" w:hAnsi="Garamond" w:cs="Garamond"/>
                <w:b/>
                <w:color w:val="000000"/>
              </w:rPr>
            </w:pPr>
          </w:p>
        </w:tc>
        <w:tc>
          <w:tcPr>
            <w:tcW w:w="479" w:type="dxa"/>
            <w:tcMar>
              <w:top w:w="100" w:type="dxa"/>
              <w:left w:w="100" w:type="dxa"/>
              <w:bottom w:w="100" w:type="dxa"/>
              <w:right w:w="100" w:type="dxa"/>
            </w:tcMar>
          </w:tcPr>
          <w:p w14:paraId="5F91D1BD" w14:textId="77777777" w:rsidR="00BA3FBD" w:rsidRDefault="00BA3FBD">
            <w:pPr>
              <w:widowControl w:val="0"/>
              <w:pBdr>
                <w:top w:val="nil"/>
                <w:left w:val="nil"/>
                <w:bottom w:val="nil"/>
                <w:right w:val="nil"/>
                <w:between w:val="nil"/>
              </w:pBdr>
              <w:rPr>
                <w:rFonts w:ascii="Garamond" w:eastAsia="Garamond" w:hAnsi="Garamond" w:cs="Garamond"/>
                <w:b/>
                <w:color w:val="000000"/>
              </w:rPr>
            </w:pPr>
          </w:p>
        </w:tc>
        <w:tc>
          <w:tcPr>
            <w:tcW w:w="480" w:type="dxa"/>
            <w:tcMar>
              <w:top w:w="100" w:type="dxa"/>
              <w:left w:w="100" w:type="dxa"/>
              <w:bottom w:w="100" w:type="dxa"/>
              <w:right w:w="100" w:type="dxa"/>
            </w:tcMar>
          </w:tcPr>
          <w:p w14:paraId="78282C87" w14:textId="77777777" w:rsidR="00BA3FBD" w:rsidRDefault="00BA3FBD">
            <w:pPr>
              <w:widowControl w:val="0"/>
              <w:pBdr>
                <w:top w:val="nil"/>
                <w:left w:val="nil"/>
                <w:bottom w:val="nil"/>
                <w:right w:val="nil"/>
                <w:between w:val="nil"/>
              </w:pBdr>
              <w:rPr>
                <w:rFonts w:ascii="Garamond" w:eastAsia="Garamond" w:hAnsi="Garamond" w:cs="Garamond"/>
                <w:b/>
                <w:color w:val="000000"/>
              </w:rPr>
            </w:pPr>
          </w:p>
        </w:tc>
      </w:tr>
      <w:tr w:rsidR="00BA3FBD" w14:paraId="0E06962A" w14:textId="77777777">
        <w:trPr>
          <w:trHeight w:val="500"/>
        </w:trPr>
        <w:tc>
          <w:tcPr>
            <w:tcW w:w="3060" w:type="dxa"/>
            <w:tcMar>
              <w:top w:w="100" w:type="dxa"/>
              <w:left w:w="100" w:type="dxa"/>
              <w:bottom w:w="100" w:type="dxa"/>
              <w:right w:w="100" w:type="dxa"/>
            </w:tcMar>
          </w:tcPr>
          <w:p w14:paraId="3881229A" w14:textId="77777777" w:rsidR="00BA3FBD" w:rsidRDefault="00000000">
            <w:pPr>
              <w:widowControl w:val="0"/>
              <w:pBdr>
                <w:top w:val="nil"/>
                <w:left w:val="nil"/>
                <w:bottom w:val="nil"/>
                <w:right w:val="nil"/>
                <w:between w:val="nil"/>
              </w:pBdr>
              <w:spacing w:line="240" w:lineRule="auto"/>
              <w:ind w:left="494"/>
              <w:rPr>
                <w:rFonts w:ascii="Garamond" w:eastAsia="Garamond" w:hAnsi="Garamond" w:cs="Garamond"/>
                <w:color w:val="000000"/>
              </w:rPr>
            </w:pPr>
            <w:r>
              <w:rPr>
                <w:rFonts w:ascii="Garamond" w:eastAsia="Garamond" w:hAnsi="Garamond" w:cs="Garamond"/>
                <w:color w:val="000000"/>
              </w:rPr>
              <w:t xml:space="preserve">Intake Survey </w:t>
            </w:r>
          </w:p>
        </w:tc>
        <w:tc>
          <w:tcPr>
            <w:tcW w:w="600" w:type="dxa"/>
            <w:tcMar>
              <w:top w:w="100" w:type="dxa"/>
              <w:left w:w="100" w:type="dxa"/>
              <w:bottom w:w="100" w:type="dxa"/>
              <w:right w:w="100" w:type="dxa"/>
            </w:tcMar>
          </w:tcPr>
          <w:p w14:paraId="4D194E9A"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80" w:type="dxa"/>
            <w:tcMar>
              <w:top w:w="100" w:type="dxa"/>
              <w:left w:w="100" w:type="dxa"/>
              <w:bottom w:w="100" w:type="dxa"/>
              <w:right w:w="100" w:type="dxa"/>
            </w:tcMar>
          </w:tcPr>
          <w:p w14:paraId="5EE94FEC"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 xml:space="preserve">X </w:t>
            </w:r>
          </w:p>
        </w:tc>
        <w:tc>
          <w:tcPr>
            <w:tcW w:w="480" w:type="dxa"/>
            <w:tcMar>
              <w:top w:w="100" w:type="dxa"/>
              <w:left w:w="100" w:type="dxa"/>
              <w:bottom w:w="100" w:type="dxa"/>
              <w:right w:w="100" w:type="dxa"/>
            </w:tcMar>
          </w:tcPr>
          <w:p w14:paraId="37ABF2BE"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 xml:space="preserve">X </w:t>
            </w:r>
          </w:p>
        </w:tc>
        <w:tc>
          <w:tcPr>
            <w:tcW w:w="480" w:type="dxa"/>
            <w:tcMar>
              <w:top w:w="100" w:type="dxa"/>
              <w:left w:w="100" w:type="dxa"/>
              <w:bottom w:w="100" w:type="dxa"/>
              <w:right w:w="100" w:type="dxa"/>
            </w:tcMar>
          </w:tcPr>
          <w:p w14:paraId="5A8C2CFA"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 xml:space="preserve">X </w:t>
            </w:r>
          </w:p>
        </w:tc>
        <w:tc>
          <w:tcPr>
            <w:tcW w:w="480" w:type="dxa"/>
            <w:tcMar>
              <w:top w:w="100" w:type="dxa"/>
              <w:left w:w="100" w:type="dxa"/>
              <w:bottom w:w="100" w:type="dxa"/>
              <w:right w:w="100" w:type="dxa"/>
            </w:tcMar>
          </w:tcPr>
          <w:p w14:paraId="4EA65760"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 xml:space="preserve">X </w:t>
            </w:r>
          </w:p>
        </w:tc>
        <w:tc>
          <w:tcPr>
            <w:tcW w:w="480" w:type="dxa"/>
            <w:tcMar>
              <w:top w:w="100" w:type="dxa"/>
              <w:left w:w="100" w:type="dxa"/>
              <w:bottom w:w="100" w:type="dxa"/>
              <w:right w:w="100" w:type="dxa"/>
            </w:tcMar>
          </w:tcPr>
          <w:p w14:paraId="5E72CE92"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 xml:space="preserve">X </w:t>
            </w:r>
          </w:p>
        </w:tc>
        <w:tc>
          <w:tcPr>
            <w:tcW w:w="480" w:type="dxa"/>
            <w:tcMar>
              <w:top w:w="100" w:type="dxa"/>
              <w:left w:w="100" w:type="dxa"/>
              <w:bottom w:w="100" w:type="dxa"/>
              <w:right w:w="100" w:type="dxa"/>
            </w:tcMar>
          </w:tcPr>
          <w:p w14:paraId="756BA8ED"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 xml:space="preserve">X </w:t>
            </w:r>
          </w:p>
        </w:tc>
        <w:tc>
          <w:tcPr>
            <w:tcW w:w="480" w:type="dxa"/>
            <w:tcMar>
              <w:top w:w="100" w:type="dxa"/>
              <w:left w:w="100" w:type="dxa"/>
              <w:bottom w:w="100" w:type="dxa"/>
              <w:right w:w="100" w:type="dxa"/>
            </w:tcMar>
          </w:tcPr>
          <w:p w14:paraId="3E3C8FE6"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 xml:space="preserve">X </w:t>
            </w:r>
          </w:p>
        </w:tc>
        <w:tc>
          <w:tcPr>
            <w:tcW w:w="480" w:type="dxa"/>
            <w:tcMar>
              <w:top w:w="100" w:type="dxa"/>
              <w:left w:w="100" w:type="dxa"/>
              <w:bottom w:w="100" w:type="dxa"/>
              <w:right w:w="100" w:type="dxa"/>
            </w:tcMar>
          </w:tcPr>
          <w:p w14:paraId="34693183"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X</w:t>
            </w:r>
          </w:p>
        </w:tc>
        <w:tc>
          <w:tcPr>
            <w:tcW w:w="480" w:type="dxa"/>
            <w:tcMar>
              <w:top w:w="100" w:type="dxa"/>
              <w:left w:w="100" w:type="dxa"/>
              <w:bottom w:w="100" w:type="dxa"/>
              <w:right w:w="100" w:type="dxa"/>
            </w:tcMar>
          </w:tcPr>
          <w:p w14:paraId="429D48F4"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80" w:type="dxa"/>
            <w:tcMar>
              <w:top w:w="100" w:type="dxa"/>
              <w:left w:w="100" w:type="dxa"/>
              <w:bottom w:w="100" w:type="dxa"/>
              <w:right w:w="100" w:type="dxa"/>
            </w:tcMar>
          </w:tcPr>
          <w:p w14:paraId="270494BB"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79" w:type="dxa"/>
            <w:tcMar>
              <w:top w:w="100" w:type="dxa"/>
              <w:left w:w="100" w:type="dxa"/>
              <w:bottom w:w="100" w:type="dxa"/>
              <w:right w:w="100" w:type="dxa"/>
            </w:tcMar>
          </w:tcPr>
          <w:p w14:paraId="75CA8679"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80" w:type="dxa"/>
            <w:tcMar>
              <w:top w:w="100" w:type="dxa"/>
              <w:left w:w="100" w:type="dxa"/>
              <w:bottom w:w="100" w:type="dxa"/>
              <w:right w:w="100" w:type="dxa"/>
            </w:tcMar>
          </w:tcPr>
          <w:p w14:paraId="7595C72A" w14:textId="77777777" w:rsidR="00BA3FBD" w:rsidRDefault="00BA3FBD">
            <w:pPr>
              <w:widowControl w:val="0"/>
              <w:pBdr>
                <w:top w:val="nil"/>
                <w:left w:val="nil"/>
                <w:bottom w:val="nil"/>
                <w:right w:val="nil"/>
                <w:between w:val="nil"/>
              </w:pBdr>
              <w:rPr>
                <w:rFonts w:ascii="Garamond" w:eastAsia="Garamond" w:hAnsi="Garamond" w:cs="Garamond"/>
                <w:color w:val="000000"/>
              </w:rPr>
            </w:pPr>
          </w:p>
        </w:tc>
      </w:tr>
      <w:tr w:rsidR="00BA3FBD" w14:paraId="131733AA" w14:textId="77777777">
        <w:trPr>
          <w:trHeight w:val="1220"/>
        </w:trPr>
        <w:tc>
          <w:tcPr>
            <w:tcW w:w="3060" w:type="dxa"/>
            <w:tcMar>
              <w:top w:w="100" w:type="dxa"/>
              <w:left w:w="100" w:type="dxa"/>
              <w:bottom w:w="100" w:type="dxa"/>
              <w:right w:w="100" w:type="dxa"/>
            </w:tcMar>
          </w:tcPr>
          <w:p w14:paraId="2DBB7F22" w14:textId="77777777" w:rsidR="00BA3FBD" w:rsidRDefault="00000000">
            <w:pPr>
              <w:widowControl w:val="0"/>
              <w:pBdr>
                <w:top w:val="nil"/>
                <w:left w:val="nil"/>
                <w:bottom w:val="nil"/>
                <w:right w:val="nil"/>
                <w:between w:val="nil"/>
              </w:pBdr>
              <w:spacing w:line="240" w:lineRule="auto"/>
              <w:ind w:right="377"/>
              <w:jc w:val="right"/>
              <w:rPr>
                <w:rFonts w:ascii="Garamond" w:eastAsia="Garamond" w:hAnsi="Garamond" w:cs="Garamond"/>
                <w:color w:val="000000"/>
              </w:rPr>
            </w:pPr>
            <w:r>
              <w:rPr>
                <w:rFonts w:ascii="Garamond" w:eastAsia="Garamond" w:hAnsi="Garamond" w:cs="Garamond"/>
                <w:color w:val="000000"/>
              </w:rPr>
              <w:t xml:space="preserve">Follow-Up Surveys (note, </w:t>
            </w:r>
          </w:p>
          <w:p w14:paraId="0D0905D5" w14:textId="77777777" w:rsidR="00BA3FBD" w:rsidRDefault="00000000">
            <w:pPr>
              <w:widowControl w:val="0"/>
              <w:pBdr>
                <w:top w:val="nil"/>
                <w:left w:val="nil"/>
                <w:bottom w:val="nil"/>
                <w:right w:val="nil"/>
                <w:between w:val="nil"/>
              </w:pBdr>
              <w:spacing w:line="240" w:lineRule="auto"/>
              <w:ind w:left="497"/>
              <w:rPr>
                <w:rFonts w:ascii="Garamond" w:eastAsia="Garamond" w:hAnsi="Garamond" w:cs="Garamond"/>
                <w:color w:val="000000"/>
              </w:rPr>
            </w:pPr>
            <w:r>
              <w:rPr>
                <w:rFonts w:ascii="Garamond" w:eastAsia="Garamond" w:hAnsi="Garamond" w:cs="Garamond"/>
                <w:color w:val="000000"/>
              </w:rPr>
              <w:t xml:space="preserve">only administered if </w:t>
            </w:r>
          </w:p>
          <w:p w14:paraId="2E3184FC" w14:textId="77777777" w:rsidR="00BA3FBD" w:rsidRDefault="00000000">
            <w:pPr>
              <w:widowControl w:val="0"/>
              <w:pBdr>
                <w:top w:val="nil"/>
                <w:left w:val="nil"/>
                <w:bottom w:val="nil"/>
                <w:right w:val="nil"/>
                <w:between w:val="nil"/>
              </w:pBdr>
              <w:spacing w:line="224" w:lineRule="auto"/>
              <w:ind w:left="497" w:right="185"/>
              <w:rPr>
                <w:rFonts w:ascii="Garamond" w:eastAsia="Garamond" w:hAnsi="Garamond" w:cs="Garamond"/>
                <w:color w:val="000000"/>
              </w:rPr>
            </w:pPr>
            <w:r>
              <w:rPr>
                <w:rFonts w:ascii="Garamond" w:eastAsia="Garamond" w:hAnsi="Garamond" w:cs="Garamond"/>
                <w:color w:val="000000"/>
              </w:rPr>
              <w:t>additional funding becomes available)</w:t>
            </w:r>
          </w:p>
        </w:tc>
        <w:tc>
          <w:tcPr>
            <w:tcW w:w="600" w:type="dxa"/>
            <w:tcMar>
              <w:top w:w="100" w:type="dxa"/>
              <w:left w:w="100" w:type="dxa"/>
              <w:bottom w:w="100" w:type="dxa"/>
              <w:right w:w="100" w:type="dxa"/>
            </w:tcMar>
          </w:tcPr>
          <w:p w14:paraId="3CC791C3"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80" w:type="dxa"/>
            <w:tcMar>
              <w:top w:w="100" w:type="dxa"/>
              <w:left w:w="100" w:type="dxa"/>
              <w:bottom w:w="100" w:type="dxa"/>
              <w:right w:w="100" w:type="dxa"/>
            </w:tcMar>
          </w:tcPr>
          <w:p w14:paraId="4F2FB3FD"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80" w:type="dxa"/>
            <w:tcMar>
              <w:top w:w="100" w:type="dxa"/>
              <w:left w:w="100" w:type="dxa"/>
              <w:bottom w:w="100" w:type="dxa"/>
              <w:right w:w="100" w:type="dxa"/>
            </w:tcMar>
          </w:tcPr>
          <w:p w14:paraId="7418DC0E"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80" w:type="dxa"/>
            <w:tcMar>
              <w:top w:w="100" w:type="dxa"/>
              <w:left w:w="100" w:type="dxa"/>
              <w:bottom w:w="100" w:type="dxa"/>
              <w:right w:w="100" w:type="dxa"/>
            </w:tcMar>
          </w:tcPr>
          <w:p w14:paraId="78BEFB8B"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80" w:type="dxa"/>
            <w:tcMar>
              <w:top w:w="100" w:type="dxa"/>
              <w:left w:w="100" w:type="dxa"/>
              <w:bottom w:w="100" w:type="dxa"/>
              <w:right w:w="100" w:type="dxa"/>
            </w:tcMar>
          </w:tcPr>
          <w:p w14:paraId="51C50A71"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80" w:type="dxa"/>
            <w:tcMar>
              <w:top w:w="100" w:type="dxa"/>
              <w:left w:w="100" w:type="dxa"/>
              <w:bottom w:w="100" w:type="dxa"/>
              <w:right w:w="100" w:type="dxa"/>
            </w:tcMar>
          </w:tcPr>
          <w:p w14:paraId="0F2E7023"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 xml:space="preserve">X </w:t>
            </w:r>
          </w:p>
        </w:tc>
        <w:tc>
          <w:tcPr>
            <w:tcW w:w="480" w:type="dxa"/>
            <w:tcMar>
              <w:top w:w="100" w:type="dxa"/>
              <w:left w:w="100" w:type="dxa"/>
              <w:bottom w:w="100" w:type="dxa"/>
              <w:right w:w="100" w:type="dxa"/>
            </w:tcMar>
          </w:tcPr>
          <w:p w14:paraId="0390B573"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 xml:space="preserve">X </w:t>
            </w:r>
          </w:p>
        </w:tc>
        <w:tc>
          <w:tcPr>
            <w:tcW w:w="480" w:type="dxa"/>
            <w:tcMar>
              <w:top w:w="100" w:type="dxa"/>
              <w:left w:w="100" w:type="dxa"/>
              <w:bottom w:w="100" w:type="dxa"/>
              <w:right w:w="100" w:type="dxa"/>
            </w:tcMar>
          </w:tcPr>
          <w:p w14:paraId="618DC23C"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 xml:space="preserve">X </w:t>
            </w:r>
          </w:p>
        </w:tc>
        <w:tc>
          <w:tcPr>
            <w:tcW w:w="480" w:type="dxa"/>
            <w:tcMar>
              <w:top w:w="100" w:type="dxa"/>
              <w:left w:w="100" w:type="dxa"/>
              <w:bottom w:w="100" w:type="dxa"/>
              <w:right w:w="100" w:type="dxa"/>
            </w:tcMar>
          </w:tcPr>
          <w:p w14:paraId="16616040"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 xml:space="preserve">X </w:t>
            </w:r>
          </w:p>
        </w:tc>
        <w:tc>
          <w:tcPr>
            <w:tcW w:w="480" w:type="dxa"/>
            <w:tcMar>
              <w:top w:w="100" w:type="dxa"/>
              <w:left w:w="100" w:type="dxa"/>
              <w:bottom w:w="100" w:type="dxa"/>
              <w:right w:w="100" w:type="dxa"/>
            </w:tcMar>
          </w:tcPr>
          <w:p w14:paraId="30B632AB"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 xml:space="preserve">X </w:t>
            </w:r>
          </w:p>
        </w:tc>
        <w:tc>
          <w:tcPr>
            <w:tcW w:w="480" w:type="dxa"/>
            <w:tcMar>
              <w:top w:w="100" w:type="dxa"/>
              <w:left w:w="100" w:type="dxa"/>
              <w:bottom w:w="100" w:type="dxa"/>
              <w:right w:w="100" w:type="dxa"/>
            </w:tcMar>
          </w:tcPr>
          <w:p w14:paraId="58C2A588"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 xml:space="preserve">X </w:t>
            </w:r>
          </w:p>
        </w:tc>
        <w:tc>
          <w:tcPr>
            <w:tcW w:w="479" w:type="dxa"/>
            <w:tcMar>
              <w:top w:w="100" w:type="dxa"/>
              <w:left w:w="100" w:type="dxa"/>
              <w:bottom w:w="100" w:type="dxa"/>
              <w:right w:w="100" w:type="dxa"/>
            </w:tcMar>
          </w:tcPr>
          <w:p w14:paraId="3E554353"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 xml:space="preserve">X </w:t>
            </w:r>
          </w:p>
        </w:tc>
        <w:tc>
          <w:tcPr>
            <w:tcW w:w="480" w:type="dxa"/>
            <w:tcMar>
              <w:top w:w="100" w:type="dxa"/>
              <w:left w:w="100" w:type="dxa"/>
              <w:bottom w:w="100" w:type="dxa"/>
              <w:right w:w="100" w:type="dxa"/>
            </w:tcMar>
          </w:tcPr>
          <w:p w14:paraId="680496B9"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X</w:t>
            </w:r>
          </w:p>
        </w:tc>
      </w:tr>
      <w:tr w:rsidR="00BA3FBD" w14:paraId="2DEC5150" w14:textId="77777777">
        <w:trPr>
          <w:trHeight w:val="500"/>
        </w:trPr>
        <w:tc>
          <w:tcPr>
            <w:tcW w:w="3060" w:type="dxa"/>
            <w:tcMar>
              <w:top w:w="100" w:type="dxa"/>
              <w:left w:w="100" w:type="dxa"/>
              <w:bottom w:w="100" w:type="dxa"/>
              <w:right w:w="100" w:type="dxa"/>
            </w:tcMar>
          </w:tcPr>
          <w:p w14:paraId="7C25CF48" w14:textId="77777777" w:rsidR="00BA3FBD" w:rsidRDefault="00000000">
            <w:pPr>
              <w:widowControl w:val="0"/>
              <w:pBdr>
                <w:top w:val="nil"/>
                <w:left w:val="nil"/>
                <w:bottom w:val="nil"/>
                <w:right w:val="nil"/>
                <w:between w:val="nil"/>
              </w:pBdr>
              <w:spacing w:line="240" w:lineRule="auto"/>
              <w:ind w:left="127"/>
              <w:rPr>
                <w:rFonts w:ascii="Garamond" w:eastAsia="Garamond" w:hAnsi="Garamond" w:cs="Garamond"/>
                <w:b/>
                <w:color w:val="000000"/>
              </w:rPr>
            </w:pPr>
            <w:r>
              <w:rPr>
                <w:rFonts w:ascii="Garamond" w:eastAsia="Garamond" w:hAnsi="Garamond" w:cs="Garamond"/>
                <w:b/>
                <w:color w:val="000000"/>
              </w:rPr>
              <w:t>Analysis</w:t>
            </w:r>
          </w:p>
        </w:tc>
        <w:tc>
          <w:tcPr>
            <w:tcW w:w="600" w:type="dxa"/>
            <w:tcMar>
              <w:top w:w="100" w:type="dxa"/>
              <w:left w:w="100" w:type="dxa"/>
              <w:bottom w:w="100" w:type="dxa"/>
              <w:right w:w="100" w:type="dxa"/>
            </w:tcMar>
          </w:tcPr>
          <w:p w14:paraId="518DE4C8" w14:textId="77777777" w:rsidR="00BA3FBD" w:rsidRDefault="00BA3FBD">
            <w:pPr>
              <w:widowControl w:val="0"/>
              <w:pBdr>
                <w:top w:val="nil"/>
                <w:left w:val="nil"/>
                <w:bottom w:val="nil"/>
                <w:right w:val="nil"/>
                <w:between w:val="nil"/>
              </w:pBdr>
              <w:rPr>
                <w:rFonts w:ascii="Garamond" w:eastAsia="Garamond" w:hAnsi="Garamond" w:cs="Garamond"/>
                <w:b/>
                <w:color w:val="000000"/>
              </w:rPr>
            </w:pPr>
          </w:p>
        </w:tc>
        <w:tc>
          <w:tcPr>
            <w:tcW w:w="480" w:type="dxa"/>
            <w:tcMar>
              <w:top w:w="100" w:type="dxa"/>
              <w:left w:w="100" w:type="dxa"/>
              <w:bottom w:w="100" w:type="dxa"/>
              <w:right w:w="100" w:type="dxa"/>
            </w:tcMar>
          </w:tcPr>
          <w:p w14:paraId="4B8EAE96" w14:textId="77777777" w:rsidR="00BA3FBD" w:rsidRDefault="00BA3FBD">
            <w:pPr>
              <w:widowControl w:val="0"/>
              <w:pBdr>
                <w:top w:val="nil"/>
                <w:left w:val="nil"/>
                <w:bottom w:val="nil"/>
                <w:right w:val="nil"/>
                <w:between w:val="nil"/>
              </w:pBdr>
              <w:rPr>
                <w:rFonts w:ascii="Garamond" w:eastAsia="Garamond" w:hAnsi="Garamond" w:cs="Garamond"/>
                <w:b/>
                <w:color w:val="000000"/>
              </w:rPr>
            </w:pPr>
          </w:p>
        </w:tc>
        <w:tc>
          <w:tcPr>
            <w:tcW w:w="480" w:type="dxa"/>
            <w:tcMar>
              <w:top w:w="100" w:type="dxa"/>
              <w:left w:w="100" w:type="dxa"/>
              <w:bottom w:w="100" w:type="dxa"/>
              <w:right w:w="100" w:type="dxa"/>
            </w:tcMar>
          </w:tcPr>
          <w:p w14:paraId="3BCC99D8" w14:textId="77777777" w:rsidR="00BA3FBD" w:rsidRDefault="00BA3FBD">
            <w:pPr>
              <w:widowControl w:val="0"/>
              <w:pBdr>
                <w:top w:val="nil"/>
                <w:left w:val="nil"/>
                <w:bottom w:val="nil"/>
                <w:right w:val="nil"/>
                <w:between w:val="nil"/>
              </w:pBdr>
              <w:rPr>
                <w:rFonts w:ascii="Garamond" w:eastAsia="Garamond" w:hAnsi="Garamond" w:cs="Garamond"/>
                <w:b/>
                <w:color w:val="000000"/>
              </w:rPr>
            </w:pPr>
          </w:p>
        </w:tc>
        <w:tc>
          <w:tcPr>
            <w:tcW w:w="480" w:type="dxa"/>
            <w:tcMar>
              <w:top w:w="100" w:type="dxa"/>
              <w:left w:w="100" w:type="dxa"/>
              <w:bottom w:w="100" w:type="dxa"/>
              <w:right w:w="100" w:type="dxa"/>
            </w:tcMar>
          </w:tcPr>
          <w:p w14:paraId="3336B5C8" w14:textId="77777777" w:rsidR="00BA3FBD" w:rsidRDefault="00BA3FBD">
            <w:pPr>
              <w:widowControl w:val="0"/>
              <w:pBdr>
                <w:top w:val="nil"/>
                <w:left w:val="nil"/>
                <w:bottom w:val="nil"/>
                <w:right w:val="nil"/>
                <w:between w:val="nil"/>
              </w:pBdr>
              <w:rPr>
                <w:rFonts w:ascii="Garamond" w:eastAsia="Garamond" w:hAnsi="Garamond" w:cs="Garamond"/>
                <w:b/>
                <w:color w:val="000000"/>
              </w:rPr>
            </w:pPr>
          </w:p>
        </w:tc>
        <w:tc>
          <w:tcPr>
            <w:tcW w:w="480" w:type="dxa"/>
            <w:tcMar>
              <w:top w:w="100" w:type="dxa"/>
              <w:left w:w="100" w:type="dxa"/>
              <w:bottom w:w="100" w:type="dxa"/>
              <w:right w:w="100" w:type="dxa"/>
            </w:tcMar>
          </w:tcPr>
          <w:p w14:paraId="54E889FA" w14:textId="77777777" w:rsidR="00BA3FBD" w:rsidRDefault="00BA3FBD">
            <w:pPr>
              <w:widowControl w:val="0"/>
              <w:pBdr>
                <w:top w:val="nil"/>
                <w:left w:val="nil"/>
                <w:bottom w:val="nil"/>
                <w:right w:val="nil"/>
                <w:between w:val="nil"/>
              </w:pBdr>
              <w:rPr>
                <w:rFonts w:ascii="Garamond" w:eastAsia="Garamond" w:hAnsi="Garamond" w:cs="Garamond"/>
                <w:b/>
                <w:color w:val="000000"/>
              </w:rPr>
            </w:pPr>
          </w:p>
        </w:tc>
        <w:tc>
          <w:tcPr>
            <w:tcW w:w="480" w:type="dxa"/>
            <w:tcMar>
              <w:top w:w="100" w:type="dxa"/>
              <w:left w:w="100" w:type="dxa"/>
              <w:bottom w:w="100" w:type="dxa"/>
              <w:right w:w="100" w:type="dxa"/>
            </w:tcMar>
          </w:tcPr>
          <w:p w14:paraId="7802313B" w14:textId="77777777" w:rsidR="00BA3FBD" w:rsidRDefault="00BA3FBD">
            <w:pPr>
              <w:widowControl w:val="0"/>
              <w:pBdr>
                <w:top w:val="nil"/>
                <w:left w:val="nil"/>
                <w:bottom w:val="nil"/>
                <w:right w:val="nil"/>
                <w:between w:val="nil"/>
              </w:pBdr>
              <w:rPr>
                <w:rFonts w:ascii="Garamond" w:eastAsia="Garamond" w:hAnsi="Garamond" w:cs="Garamond"/>
                <w:b/>
                <w:color w:val="000000"/>
              </w:rPr>
            </w:pPr>
          </w:p>
        </w:tc>
        <w:tc>
          <w:tcPr>
            <w:tcW w:w="480" w:type="dxa"/>
            <w:tcMar>
              <w:top w:w="100" w:type="dxa"/>
              <w:left w:w="100" w:type="dxa"/>
              <w:bottom w:w="100" w:type="dxa"/>
              <w:right w:w="100" w:type="dxa"/>
            </w:tcMar>
          </w:tcPr>
          <w:p w14:paraId="0727967A" w14:textId="77777777" w:rsidR="00BA3FBD" w:rsidRDefault="00BA3FBD">
            <w:pPr>
              <w:widowControl w:val="0"/>
              <w:pBdr>
                <w:top w:val="nil"/>
                <w:left w:val="nil"/>
                <w:bottom w:val="nil"/>
                <w:right w:val="nil"/>
                <w:between w:val="nil"/>
              </w:pBdr>
              <w:rPr>
                <w:rFonts w:ascii="Garamond" w:eastAsia="Garamond" w:hAnsi="Garamond" w:cs="Garamond"/>
                <w:b/>
                <w:color w:val="000000"/>
              </w:rPr>
            </w:pPr>
          </w:p>
        </w:tc>
        <w:tc>
          <w:tcPr>
            <w:tcW w:w="480" w:type="dxa"/>
            <w:tcMar>
              <w:top w:w="100" w:type="dxa"/>
              <w:left w:w="100" w:type="dxa"/>
              <w:bottom w:w="100" w:type="dxa"/>
              <w:right w:w="100" w:type="dxa"/>
            </w:tcMar>
          </w:tcPr>
          <w:p w14:paraId="14C48B55" w14:textId="77777777" w:rsidR="00BA3FBD" w:rsidRDefault="00BA3FBD">
            <w:pPr>
              <w:widowControl w:val="0"/>
              <w:pBdr>
                <w:top w:val="nil"/>
                <w:left w:val="nil"/>
                <w:bottom w:val="nil"/>
                <w:right w:val="nil"/>
                <w:between w:val="nil"/>
              </w:pBdr>
              <w:rPr>
                <w:rFonts w:ascii="Garamond" w:eastAsia="Garamond" w:hAnsi="Garamond" w:cs="Garamond"/>
                <w:b/>
                <w:color w:val="000000"/>
              </w:rPr>
            </w:pPr>
          </w:p>
        </w:tc>
        <w:tc>
          <w:tcPr>
            <w:tcW w:w="480" w:type="dxa"/>
            <w:tcMar>
              <w:top w:w="100" w:type="dxa"/>
              <w:left w:w="100" w:type="dxa"/>
              <w:bottom w:w="100" w:type="dxa"/>
              <w:right w:w="100" w:type="dxa"/>
            </w:tcMar>
          </w:tcPr>
          <w:p w14:paraId="5321FA85" w14:textId="77777777" w:rsidR="00BA3FBD" w:rsidRDefault="00BA3FBD">
            <w:pPr>
              <w:widowControl w:val="0"/>
              <w:pBdr>
                <w:top w:val="nil"/>
                <w:left w:val="nil"/>
                <w:bottom w:val="nil"/>
                <w:right w:val="nil"/>
                <w:between w:val="nil"/>
              </w:pBdr>
              <w:rPr>
                <w:rFonts w:ascii="Garamond" w:eastAsia="Garamond" w:hAnsi="Garamond" w:cs="Garamond"/>
                <w:b/>
                <w:color w:val="000000"/>
              </w:rPr>
            </w:pPr>
          </w:p>
        </w:tc>
        <w:tc>
          <w:tcPr>
            <w:tcW w:w="480" w:type="dxa"/>
            <w:tcMar>
              <w:top w:w="100" w:type="dxa"/>
              <w:left w:w="100" w:type="dxa"/>
              <w:bottom w:w="100" w:type="dxa"/>
              <w:right w:w="100" w:type="dxa"/>
            </w:tcMar>
          </w:tcPr>
          <w:p w14:paraId="59949476" w14:textId="77777777" w:rsidR="00BA3FBD" w:rsidRDefault="00BA3FBD">
            <w:pPr>
              <w:widowControl w:val="0"/>
              <w:pBdr>
                <w:top w:val="nil"/>
                <w:left w:val="nil"/>
                <w:bottom w:val="nil"/>
                <w:right w:val="nil"/>
                <w:between w:val="nil"/>
              </w:pBdr>
              <w:rPr>
                <w:rFonts w:ascii="Garamond" w:eastAsia="Garamond" w:hAnsi="Garamond" w:cs="Garamond"/>
                <w:b/>
                <w:color w:val="000000"/>
              </w:rPr>
            </w:pPr>
          </w:p>
        </w:tc>
        <w:tc>
          <w:tcPr>
            <w:tcW w:w="480" w:type="dxa"/>
            <w:tcMar>
              <w:top w:w="100" w:type="dxa"/>
              <w:left w:w="100" w:type="dxa"/>
              <w:bottom w:w="100" w:type="dxa"/>
              <w:right w:w="100" w:type="dxa"/>
            </w:tcMar>
          </w:tcPr>
          <w:p w14:paraId="34104C08" w14:textId="77777777" w:rsidR="00BA3FBD" w:rsidRDefault="00BA3FBD">
            <w:pPr>
              <w:widowControl w:val="0"/>
              <w:pBdr>
                <w:top w:val="nil"/>
                <w:left w:val="nil"/>
                <w:bottom w:val="nil"/>
                <w:right w:val="nil"/>
                <w:between w:val="nil"/>
              </w:pBdr>
              <w:rPr>
                <w:rFonts w:ascii="Garamond" w:eastAsia="Garamond" w:hAnsi="Garamond" w:cs="Garamond"/>
                <w:b/>
                <w:color w:val="000000"/>
              </w:rPr>
            </w:pPr>
          </w:p>
        </w:tc>
        <w:tc>
          <w:tcPr>
            <w:tcW w:w="479" w:type="dxa"/>
            <w:tcMar>
              <w:top w:w="100" w:type="dxa"/>
              <w:left w:w="100" w:type="dxa"/>
              <w:bottom w:w="100" w:type="dxa"/>
              <w:right w:w="100" w:type="dxa"/>
            </w:tcMar>
          </w:tcPr>
          <w:p w14:paraId="7041AE96" w14:textId="77777777" w:rsidR="00BA3FBD" w:rsidRDefault="00BA3FBD">
            <w:pPr>
              <w:widowControl w:val="0"/>
              <w:pBdr>
                <w:top w:val="nil"/>
                <w:left w:val="nil"/>
                <w:bottom w:val="nil"/>
                <w:right w:val="nil"/>
                <w:between w:val="nil"/>
              </w:pBdr>
              <w:rPr>
                <w:rFonts w:ascii="Garamond" w:eastAsia="Garamond" w:hAnsi="Garamond" w:cs="Garamond"/>
                <w:b/>
                <w:color w:val="000000"/>
              </w:rPr>
            </w:pPr>
          </w:p>
        </w:tc>
        <w:tc>
          <w:tcPr>
            <w:tcW w:w="480" w:type="dxa"/>
            <w:tcMar>
              <w:top w:w="100" w:type="dxa"/>
              <w:left w:w="100" w:type="dxa"/>
              <w:bottom w:w="100" w:type="dxa"/>
              <w:right w:w="100" w:type="dxa"/>
            </w:tcMar>
          </w:tcPr>
          <w:p w14:paraId="22D3AEF9" w14:textId="77777777" w:rsidR="00BA3FBD" w:rsidRDefault="00BA3FBD">
            <w:pPr>
              <w:widowControl w:val="0"/>
              <w:pBdr>
                <w:top w:val="nil"/>
                <w:left w:val="nil"/>
                <w:bottom w:val="nil"/>
                <w:right w:val="nil"/>
                <w:between w:val="nil"/>
              </w:pBdr>
              <w:rPr>
                <w:rFonts w:ascii="Garamond" w:eastAsia="Garamond" w:hAnsi="Garamond" w:cs="Garamond"/>
                <w:b/>
                <w:color w:val="000000"/>
              </w:rPr>
            </w:pPr>
          </w:p>
        </w:tc>
      </w:tr>
      <w:tr w:rsidR="00BA3FBD" w14:paraId="42605A15" w14:textId="77777777">
        <w:trPr>
          <w:trHeight w:val="720"/>
        </w:trPr>
        <w:tc>
          <w:tcPr>
            <w:tcW w:w="3060" w:type="dxa"/>
            <w:tcMar>
              <w:top w:w="100" w:type="dxa"/>
              <w:left w:w="100" w:type="dxa"/>
              <w:bottom w:w="100" w:type="dxa"/>
              <w:right w:w="100" w:type="dxa"/>
            </w:tcMar>
          </w:tcPr>
          <w:p w14:paraId="5DF82F25" w14:textId="77777777" w:rsidR="00BA3FBD" w:rsidRDefault="00000000">
            <w:pPr>
              <w:widowControl w:val="0"/>
              <w:pBdr>
                <w:top w:val="nil"/>
                <w:left w:val="nil"/>
                <w:bottom w:val="nil"/>
                <w:right w:val="nil"/>
                <w:between w:val="nil"/>
              </w:pBdr>
              <w:spacing w:line="240" w:lineRule="auto"/>
              <w:ind w:right="401"/>
              <w:jc w:val="right"/>
              <w:rPr>
                <w:rFonts w:ascii="Garamond" w:eastAsia="Garamond" w:hAnsi="Garamond" w:cs="Garamond"/>
                <w:color w:val="000000"/>
              </w:rPr>
            </w:pPr>
            <w:r>
              <w:rPr>
                <w:rFonts w:ascii="Garamond" w:eastAsia="Garamond" w:hAnsi="Garamond" w:cs="Garamond"/>
                <w:color w:val="000000"/>
              </w:rPr>
              <w:t xml:space="preserve">Interim Report: 6-month </w:t>
            </w:r>
          </w:p>
          <w:p w14:paraId="15358A6A" w14:textId="77777777" w:rsidR="00BA3FBD" w:rsidRDefault="00000000">
            <w:pPr>
              <w:widowControl w:val="0"/>
              <w:pBdr>
                <w:top w:val="nil"/>
                <w:left w:val="nil"/>
                <w:bottom w:val="nil"/>
                <w:right w:val="nil"/>
                <w:between w:val="nil"/>
              </w:pBdr>
              <w:spacing w:line="240" w:lineRule="auto"/>
              <w:ind w:left="493"/>
              <w:rPr>
                <w:rFonts w:ascii="Garamond" w:eastAsia="Garamond" w:hAnsi="Garamond" w:cs="Garamond"/>
                <w:color w:val="000000"/>
              </w:rPr>
            </w:pPr>
            <w:r>
              <w:rPr>
                <w:rFonts w:ascii="Garamond" w:eastAsia="Garamond" w:hAnsi="Garamond" w:cs="Garamond"/>
                <w:color w:val="000000"/>
              </w:rPr>
              <w:t>results for full sample</w:t>
            </w:r>
          </w:p>
        </w:tc>
        <w:tc>
          <w:tcPr>
            <w:tcW w:w="600" w:type="dxa"/>
            <w:tcMar>
              <w:top w:w="100" w:type="dxa"/>
              <w:left w:w="100" w:type="dxa"/>
              <w:bottom w:w="100" w:type="dxa"/>
              <w:right w:w="100" w:type="dxa"/>
            </w:tcMar>
          </w:tcPr>
          <w:p w14:paraId="420BD488"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80" w:type="dxa"/>
            <w:tcMar>
              <w:top w:w="100" w:type="dxa"/>
              <w:left w:w="100" w:type="dxa"/>
              <w:bottom w:w="100" w:type="dxa"/>
              <w:right w:w="100" w:type="dxa"/>
            </w:tcMar>
          </w:tcPr>
          <w:p w14:paraId="5AE53EF2"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80" w:type="dxa"/>
            <w:tcMar>
              <w:top w:w="100" w:type="dxa"/>
              <w:left w:w="100" w:type="dxa"/>
              <w:bottom w:w="100" w:type="dxa"/>
              <w:right w:w="100" w:type="dxa"/>
            </w:tcMar>
          </w:tcPr>
          <w:p w14:paraId="27ACA614"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80" w:type="dxa"/>
            <w:tcMar>
              <w:top w:w="100" w:type="dxa"/>
              <w:left w:w="100" w:type="dxa"/>
              <w:bottom w:w="100" w:type="dxa"/>
              <w:right w:w="100" w:type="dxa"/>
            </w:tcMar>
          </w:tcPr>
          <w:p w14:paraId="256C10C7"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80" w:type="dxa"/>
            <w:tcMar>
              <w:top w:w="100" w:type="dxa"/>
              <w:left w:w="100" w:type="dxa"/>
              <w:bottom w:w="100" w:type="dxa"/>
              <w:right w:w="100" w:type="dxa"/>
            </w:tcMar>
          </w:tcPr>
          <w:p w14:paraId="3DCC6F05"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80" w:type="dxa"/>
            <w:tcMar>
              <w:top w:w="100" w:type="dxa"/>
              <w:left w:w="100" w:type="dxa"/>
              <w:bottom w:w="100" w:type="dxa"/>
              <w:right w:w="100" w:type="dxa"/>
            </w:tcMar>
          </w:tcPr>
          <w:p w14:paraId="66CBECA7"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80" w:type="dxa"/>
            <w:tcMar>
              <w:top w:w="100" w:type="dxa"/>
              <w:left w:w="100" w:type="dxa"/>
              <w:bottom w:w="100" w:type="dxa"/>
              <w:right w:w="100" w:type="dxa"/>
            </w:tcMar>
          </w:tcPr>
          <w:p w14:paraId="3842BAB4"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80" w:type="dxa"/>
            <w:tcMar>
              <w:top w:w="100" w:type="dxa"/>
              <w:left w:w="100" w:type="dxa"/>
              <w:bottom w:w="100" w:type="dxa"/>
              <w:right w:w="100" w:type="dxa"/>
            </w:tcMar>
          </w:tcPr>
          <w:p w14:paraId="730164C7"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80" w:type="dxa"/>
            <w:tcMar>
              <w:top w:w="100" w:type="dxa"/>
              <w:left w:w="100" w:type="dxa"/>
              <w:bottom w:w="100" w:type="dxa"/>
              <w:right w:w="100" w:type="dxa"/>
            </w:tcMar>
          </w:tcPr>
          <w:p w14:paraId="17841AE2"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80" w:type="dxa"/>
            <w:tcMar>
              <w:top w:w="100" w:type="dxa"/>
              <w:left w:w="100" w:type="dxa"/>
              <w:bottom w:w="100" w:type="dxa"/>
              <w:right w:w="100" w:type="dxa"/>
            </w:tcMar>
          </w:tcPr>
          <w:p w14:paraId="42081BDB"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80" w:type="dxa"/>
            <w:tcMar>
              <w:top w:w="100" w:type="dxa"/>
              <w:left w:w="100" w:type="dxa"/>
              <w:bottom w:w="100" w:type="dxa"/>
              <w:right w:w="100" w:type="dxa"/>
            </w:tcMar>
          </w:tcPr>
          <w:p w14:paraId="4C216C89"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79" w:type="dxa"/>
            <w:tcMar>
              <w:top w:w="100" w:type="dxa"/>
              <w:left w:w="100" w:type="dxa"/>
              <w:bottom w:w="100" w:type="dxa"/>
              <w:right w:w="100" w:type="dxa"/>
            </w:tcMar>
          </w:tcPr>
          <w:p w14:paraId="394DA4A7" w14:textId="77777777" w:rsidR="00BA3FBD" w:rsidRDefault="00BA3FBD">
            <w:pPr>
              <w:widowControl w:val="0"/>
              <w:pBdr>
                <w:top w:val="nil"/>
                <w:left w:val="nil"/>
                <w:bottom w:val="nil"/>
                <w:right w:val="nil"/>
                <w:between w:val="nil"/>
              </w:pBdr>
              <w:rPr>
                <w:rFonts w:ascii="Garamond" w:eastAsia="Garamond" w:hAnsi="Garamond" w:cs="Garamond"/>
                <w:color w:val="000000"/>
              </w:rPr>
            </w:pPr>
          </w:p>
        </w:tc>
        <w:tc>
          <w:tcPr>
            <w:tcW w:w="480" w:type="dxa"/>
            <w:tcMar>
              <w:top w:w="100" w:type="dxa"/>
              <w:left w:w="100" w:type="dxa"/>
              <w:bottom w:w="100" w:type="dxa"/>
              <w:right w:w="100" w:type="dxa"/>
            </w:tcMar>
          </w:tcPr>
          <w:p w14:paraId="72B26F2F"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X</w:t>
            </w:r>
          </w:p>
        </w:tc>
      </w:tr>
    </w:tbl>
    <w:p w14:paraId="056CA2C9" w14:textId="77777777" w:rsidR="00BA3FBD" w:rsidRDefault="00BA3FBD">
      <w:pPr>
        <w:widowControl w:val="0"/>
        <w:pBdr>
          <w:top w:val="nil"/>
          <w:left w:val="nil"/>
          <w:bottom w:val="nil"/>
          <w:right w:val="nil"/>
          <w:between w:val="nil"/>
        </w:pBdr>
        <w:rPr>
          <w:color w:val="000000"/>
        </w:rPr>
      </w:pPr>
    </w:p>
    <w:p w14:paraId="33ADB39D" w14:textId="77777777" w:rsidR="00BA3FBD" w:rsidRDefault="00BA3FBD">
      <w:pPr>
        <w:widowControl w:val="0"/>
        <w:pBdr>
          <w:top w:val="nil"/>
          <w:left w:val="nil"/>
          <w:bottom w:val="nil"/>
          <w:right w:val="nil"/>
          <w:between w:val="nil"/>
        </w:pBdr>
        <w:rPr>
          <w:color w:val="000000"/>
        </w:rPr>
      </w:pPr>
    </w:p>
    <w:p w14:paraId="29D06986" w14:textId="77777777" w:rsidR="00BA3FBD" w:rsidRDefault="00000000">
      <w:pPr>
        <w:widowControl w:val="0"/>
        <w:pBdr>
          <w:top w:val="nil"/>
          <w:left w:val="nil"/>
          <w:bottom w:val="nil"/>
          <w:right w:val="nil"/>
          <w:between w:val="nil"/>
        </w:pBdr>
        <w:spacing w:line="240" w:lineRule="auto"/>
        <w:ind w:left="139"/>
        <w:rPr>
          <w:rFonts w:ascii="Garamond" w:eastAsia="Garamond" w:hAnsi="Garamond" w:cs="Garamond"/>
          <w:b/>
          <w:color w:val="000000"/>
        </w:rPr>
      </w:pPr>
      <w:r>
        <w:rPr>
          <w:rFonts w:ascii="Garamond" w:eastAsia="Garamond" w:hAnsi="Garamond" w:cs="Garamond"/>
          <w:b/>
          <w:color w:val="000000"/>
        </w:rPr>
        <w:t xml:space="preserve">C2. Enrollment </w:t>
      </w:r>
    </w:p>
    <w:p w14:paraId="3B6D0B34" w14:textId="77777777" w:rsidR="00BA3FBD" w:rsidRDefault="00000000">
      <w:pPr>
        <w:widowControl w:val="0"/>
        <w:pBdr>
          <w:top w:val="nil"/>
          <w:left w:val="nil"/>
          <w:bottom w:val="nil"/>
          <w:right w:val="nil"/>
          <w:between w:val="nil"/>
        </w:pBdr>
        <w:spacing w:line="224" w:lineRule="auto"/>
        <w:ind w:left="127" w:right="46" w:firstLine="725"/>
        <w:rPr>
          <w:rFonts w:ascii="Garamond" w:eastAsia="Garamond" w:hAnsi="Garamond" w:cs="Garamond"/>
          <w:color w:val="000000"/>
        </w:rPr>
      </w:pPr>
      <w:r>
        <w:rPr>
          <w:rFonts w:ascii="Garamond" w:eastAsia="Garamond" w:hAnsi="Garamond" w:cs="Garamond"/>
          <w:color w:val="000000"/>
        </w:rPr>
        <w:t xml:space="preserve">Beginning in early 2023, clients who exit Abode Services’ RRH programs will have the option to participate in a cash transfer program. Figure 1 lays out the enrollment process. Because clients meet regularly with their case manager while receiving RRH rent subsidies, we will integrate study enrollment </w:t>
      </w:r>
      <w:r>
        <w:rPr>
          <w:rFonts w:ascii="Garamond" w:eastAsia="Garamond" w:hAnsi="Garamond" w:cs="Garamond"/>
          <w:color w:val="000000"/>
        </w:rPr>
        <w:lastRenderedPageBreak/>
        <w:t xml:space="preserve">into those meetings. During the last case manager meeting prior to exit from RRH, the case managers will ask the client if they are interested in participating in a study that provides cash payments of $50 or more for one year. If the client indicates interest, the case manager refers them to the </w:t>
      </w:r>
      <w:r>
        <w:rPr>
          <w:rFonts w:ascii="Garamond" w:eastAsia="Garamond" w:hAnsi="Garamond" w:cs="Garamond"/>
          <w:color w:val="222222"/>
          <w:highlight w:val="white"/>
        </w:rPr>
        <w:t>Program and Enrollment Coordinator</w:t>
      </w:r>
      <w:r>
        <w:rPr>
          <w:rFonts w:ascii="Garamond" w:eastAsia="Garamond" w:hAnsi="Garamond" w:cs="Garamond"/>
          <w:color w:val="222222"/>
        </w:rPr>
        <w:t xml:space="preserve"> </w:t>
      </w:r>
      <w:r>
        <w:rPr>
          <w:rFonts w:ascii="Garamond" w:eastAsia="Garamond" w:hAnsi="Garamond" w:cs="Garamond"/>
          <w:color w:val="000000"/>
        </w:rPr>
        <w:t xml:space="preserve">with whom they will meet immediately following the meeting with the case manager. </w:t>
      </w:r>
    </w:p>
    <w:p w14:paraId="61539557" w14:textId="77777777" w:rsidR="00BA3FBD" w:rsidRDefault="00000000">
      <w:pPr>
        <w:widowControl w:val="0"/>
        <w:pBdr>
          <w:top w:val="nil"/>
          <w:left w:val="nil"/>
          <w:bottom w:val="nil"/>
          <w:right w:val="nil"/>
          <w:between w:val="nil"/>
        </w:pBdr>
        <w:spacing w:before="4" w:line="224" w:lineRule="auto"/>
        <w:ind w:left="130" w:right="71" w:firstLine="719"/>
        <w:rPr>
          <w:rFonts w:ascii="Garamond" w:eastAsia="Garamond" w:hAnsi="Garamond" w:cs="Garamond"/>
          <w:color w:val="000000"/>
        </w:rPr>
      </w:pPr>
      <w:r>
        <w:rPr>
          <w:rFonts w:ascii="Garamond" w:eastAsia="Garamond" w:hAnsi="Garamond" w:cs="Garamond"/>
          <w:color w:val="000000"/>
        </w:rPr>
        <w:t xml:space="preserve">The </w:t>
      </w:r>
      <w:r>
        <w:rPr>
          <w:rFonts w:ascii="Garamond" w:eastAsia="Garamond" w:hAnsi="Garamond" w:cs="Garamond"/>
          <w:color w:val="222222"/>
          <w:highlight w:val="white"/>
        </w:rPr>
        <w:t>Program and Enrollment Coordinator</w:t>
      </w:r>
      <w:r>
        <w:rPr>
          <w:rFonts w:ascii="Garamond" w:eastAsia="Garamond" w:hAnsi="Garamond" w:cs="Garamond"/>
          <w:color w:val="222222"/>
        </w:rPr>
        <w:t xml:space="preserve"> </w:t>
      </w:r>
      <w:r>
        <w:rPr>
          <w:rFonts w:ascii="Garamond" w:eastAsia="Garamond" w:hAnsi="Garamond" w:cs="Garamond"/>
          <w:color w:val="000000"/>
        </w:rPr>
        <w:t xml:space="preserve">will introduce the cash transfer program, describing how the value of the payments will be determined by a lottery. Potential participants will be asked to consent to receive cash payments of an amount determined by a lottery. Those who consent to participate in the cash payment program will then be asked to be part of the study and allow the research team access to their information in a variety of administrative data sources. Individuals can still receive payments even if they do not want to be part of the study and share data (Figure 1, Box B); they will be randomized into the same cash transfer options as those in the study, but will not be part of the study. This avoids concerns about the offer of payments being viewed as coercion to participate in the study. Those who consent to the study will complete a short intake survey. Our aim is to enroll 990 households into the study (Figure 1, Box A). We anticipate having to run enrollment until 1,100 eligible clients have exited RRH in order to enroll 990 households, assuming a 90% consent rate for the study. We expect this will take approximately two years. The 90% consent rate is based on the actual rate from a study with a similar structure (Bartik et al, 2020). Those participating in the lottery will have an equal chance of being assigned to either the treatment or control group. </w:t>
      </w:r>
    </w:p>
    <w:p w14:paraId="5E95276F" w14:textId="77777777" w:rsidR="00BA3FBD" w:rsidRDefault="00000000">
      <w:pPr>
        <w:widowControl w:val="0"/>
        <w:pBdr>
          <w:top w:val="nil"/>
          <w:left w:val="nil"/>
          <w:bottom w:val="nil"/>
          <w:right w:val="nil"/>
          <w:between w:val="nil"/>
        </w:pBdr>
        <w:spacing w:before="4" w:line="224" w:lineRule="auto"/>
        <w:ind w:left="135" w:right="142" w:firstLine="584"/>
        <w:rPr>
          <w:rFonts w:ascii="Garamond" w:eastAsia="Garamond" w:hAnsi="Garamond" w:cs="Garamond"/>
          <w:color w:val="000000"/>
        </w:rPr>
      </w:pPr>
      <w:r>
        <w:rPr>
          <w:rFonts w:ascii="Garamond" w:eastAsia="Garamond" w:hAnsi="Garamond" w:cs="Garamond"/>
          <w:color w:val="000000"/>
        </w:rPr>
        <w:t xml:space="preserve">At this same meeting, the </w:t>
      </w:r>
      <w:r>
        <w:rPr>
          <w:rFonts w:ascii="Garamond" w:eastAsia="Garamond" w:hAnsi="Garamond" w:cs="Garamond"/>
          <w:color w:val="222222"/>
          <w:highlight w:val="white"/>
        </w:rPr>
        <w:t>Program and Enrollment Coordinator</w:t>
      </w:r>
      <w:r>
        <w:rPr>
          <w:rFonts w:ascii="Garamond" w:eastAsia="Garamond" w:hAnsi="Garamond" w:cs="Garamond"/>
          <w:color w:val="222222"/>
        </w:rPr>
        <w:t xml:space="preserve"> </w:t>
      </w:r>
      <w:r>
        <w:rPr>
          <w:rFonts w:ascii="Garamond" w:eastAsia="Garamond" w:hAnsi="Garamond" w:cs="Garamond"/>
          <w:color w:val="000000"/>
        </w:rPr>
        <w:t>will inform the participant of their treatment status, their monthly payment amounts, and the potential impact of the cash transfers on eligibility</w:t>
      </w:r>
      <w:r>
        <w:rPr>
          <w:rFonts w:ascii="Garamond" w:eastAsia="Garamond" w:hAnsi="Garamond" w:cs="Garamond"/>
        </w:rPr>
        <w:t xml:space="preserve"> </w:t>
      </w:r>
      <w:r>
        <w:rPr>
          <w:rFonts w:ascii="Garamond" w:eastAsia="Garamond" w:hAnsi="Garamond" w:cs="Garamond"/>
          <w:color w:val="000000"/>
        </w:rPr>
        <w:t xml:space="preserve">for federal, state, and local means-tested programs for which a waiver is not available. Participants will be </w:t>
      </w:r>
    </w:p>
    <w:p w14:paraId="1B16BEB1" w14:textId="5D5BAD23" w:rsidR="00BA3FBD" w:rsidRDefault="00FE39FE">
      <w:pPr>
        <w:widowControl w:val="0"/>
        <w:pBdr>
          <w:top w:val="nil"/>
          <w:left w:val="nil"/>
          <w:bottom w:val="nil"/>
          <w:right w:val="nil"/>
          <w:between w:val="nil"/>
        </w:pBdr>
        <w:spacing w:line="224" w:lineRule="auto"/>
        <w:ind w:left="127" w:right="291" w:firstLine="2"/>
        <w:rPr>
          <w:rFonts w:ascii="Garamond" w:eastAsia="Garamond" w:hAnsi="Garamond" w:cs="Garamond"/>
          <w:color w:val="000000"/>
        </w:rPr>
      </w:pPr>
      <w:r>
        <w:rPr>
          <w:rFonts w:ascii="Garamond" w:eastAsia="Garamond" w:hAnsi="Garamond" w:cs="Garamond"/>
          <w:b/>
          <w:noProof/>
          <w:color w:val="000000"/>
        </w:rPr>
        <mc:AlternateContent>
          <mc:Choice Requires="wps">
            <w:drawing>
              <wp:anchor distT="0" distB="0" distL="114300" distR="114300" simplePos="0" relativeHeight="251667456" behindDoc="1" locked="0" layoutInCell="1" allowOverlap="1" wp14:anchorId="70B7452B" wp14:editId="1E5D06DF">
                <wp:simplePos x="0" y="0"/>
                <wp:positionH relativeFrom="column">
                  <wp:posOffset>5346065</wp:posOffset>
                </wp:positionH>
                <wp:positionV relativeFrom="paragraph">
                  <wp:posOffset>534670</wp:posOffset>
                </wp:positionV>
                <wp:extent cx="951865" cy="1430020"/>
                <wp:effectExtent l="0" t="0" r="635" b="5080"/>
                <wp:wrapTight wrapText="bothSides">
                  <wp:wrapPolygon edited="0">
                    <wp:start x="0" y="0"/>
                    <wp:lineTo x="0" y="21485"/>
                    <wp:lineTo x="21326" y="21485"/>
                    <wp:lineTo x="21326" y="0"/>
                    <wp:lineTo x="0" y="0"/>
                  </wp:wrapPolygon>
                </wp:wrapTight>
                <wp:docPr id="1898261787" name="Text Box 1"/>
                <wp:cNvGraphicFramePr/>
                <a:graphic xmlns:a="http://schemas.openxmlformats.org/drawingml/2006/main">
                  <a:graphicData uri="http://schemas.microsoft.com/office/word/2010/wordprocessingShape">
                    <wps:wsp>
                      <wps:cNvSpPr txBox="1"/>
                      <wps:spPr>
                        <a:xfrm>
                          <a:off x="0" y="0"/>
                          <a:ext cx="951865" cy="1430020"/>
                        </a:xfrm>
                        <a:prstGeom prst="rect">
                          <a:avLst/>
                        </a:prstGeom>
                        <a:solidFill>
                          <a:srgbClr val="E35925"/>
                        </a:solidFill>
                        <a:ln w="6350">
                          <a:noFill/>
                        </a:ln>
                      </wps:spPr>
                      <wps:txbx>
                        <w:txbxContent>
                          <w:p w14:paraId="150CA6F6" w14:textId="747CFB6A" w:rsidR="00FE39FE" w:rsidRPr="00FE39FE" w:rsidRDefault="00FE39FE" w:rsidP="00FE39FE">
                            <w:pPr>
                              <w:rPr>
                                <w:rFonts w:ascii="Garamond" w:hAnsi="Garamond"/>
                                <w:b/>
                                <w:bCs/>
                                <w:color w:val="FFFFFF" w:themeColor="background1"/>
                                <w:sz w:val="16"/>
                                <w:szCs w:val="16"/>
                              </w:rPr>
                            </w:pPr>
                            <w:r w:rsidRPr="00FE39FE">
                              <w:rPr>
                                <w:rFonts w:ascii="Garamond" w:hAnsi="Garamond"/>
                                <w:b/>
                                <w:bCs/>
                                <w:color w:val="FFFFFF" w:themeColor="background1"/>
                                <w:sz w:val="16"/>
                                <w:szCs w:val="16"/>
                              </w:rPr>
                              <w:t>Proposals should describe the intervention and study design in detail</w:t>
                            </w:r>
                            <w:r w:rsidR="00076539">
                              <w:rPr>
                                <w:rFonts w:ascii="Garamond" w:hAnsi="Garamond"/>
                                <w:b/>
                                <w:bCs/>
                                <w:color w:val="FFFFFF" w:themeColor="background1"/>
                                <w:sz w:val="16"/>
                                <w:szCs w:val="16"/>
                              </w:rPr>
                              <w:t xml:space="preserve"> and</w:t>
                            </w:r>
                            <w:r w:rsidRPr="00FE39FE">
                              <w:rPr>
                                <w:rFonts w:ascii="Garamond" w:hAnsi="Garamond"/>
                                <w:b/>
                                <w:bCs/>
                                <w:color w:val="FFFFFF" w:themeColor="background1"/>
                                <w:sz w:val="16"/>
                                <w:szCs w:val="16"/>
                              </w:rPr>
                              <w:t xml:space="preserve"> explain how the design is well-suited to answering the research questions.</w:t>
                            </w:r>
                          </w:p>
                          <w:p w14:paraId="2EEFEBE3" w14:textId="77777777" w:rsidR="00FE39FE" w:rsidRPr="00FE39FE" w:rsidRDefault="00FE39FE" w:rsidP="00FE39FE">
                            <w:pPr>
                              <w:rPr>
                                <w:rFonts w:ascii="Garamond" w:hAnsi="Garamond"/>
                                <w:b/>
                                <w:bCs/>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7452B" id="_x0000_s1030" type="#_x0000_t202" style="position:absolute;left:0;text-align:left;margin-left:420.95pt;margin-top:42.1pt;width:74.95pt;height:112.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" fillcolor="#e35925" stroked="f" strokeweight=".5pt">
                <v:textbox>
                  <w:txbxContent>
                    <w:p w14:paraId="150CA6F6" w14:textId="747CFB6A" w:rsidR="00FE39FE" w:rsidRPr="00FE39FE" w:rsidRDefault="00FE39FE" w:rsidP="00FE39FE">
                      <w:pPr>
                        <w:rPr>
                          <w:rFonts w:ascii="Garamond" w:hAnsi="Garamond"/>
                          <w:b/>
                          <w:bCs/>
                          <w:color w:val="FFFFFF" w:themeColor="background1"/>
                          <w:sz w:val="16"/>
                          <w:szCs w:val="16"/>
                        </w:rPr>
                      </w:pPr>
                      <w:r w:rsidRPr="00FE39FE">
                        <w:rPr>
                          <w:rFonts w:ascii="Garamond" w:hAnsi="Garamond"/>
                          <w:b/>
                          <w:bCs/>
                          <w:color w:val="FFFFFF" w:themeColor="background1"/>
                          <w:sz w:val="16"/>
                          <w:szCs w:val="16"/>
                        </w:rPr>
                        <w:t>Proposals should describe the intervention and study design in detail</w:t>
                      </w:r>
                      <w:r w:rsidR="00076539">
                        <w:rPr>
                          <w:rFonts w:ascii="Garamond" w:hAnsi="Garamond"/>
                          <w:b/>
                          <w:bCs/>
                          <w:color w:val="FFFFFF" w:themeColor="background1"/>
                          <w:sz w:val="16"/>
                          <w:szCs w:val="16"/>
                        </w:rPr>
                        <w:t xml:space="preserve"> and</w:t>
                      </w:r>
                      <w:r w:rsidRPr="00FE39FE">
                        <w:rPr>
                          <w:rFonts w:ascii="Garamond" w:hAnsi="Garamond"/>
                          <w:b/>
                          <w:bCs/>
                          <w:color w:val="FFFFFF" w:themeColor="background1"/>
                          <w:sz w:val="16"/>
                          <w:szCs w:val="16"/>
                        </w:rPr>
                        <w:t xml:space="preserve"> explain how the design is well-suited to answering the research questions.</w:t>
                      </w:r>
                    </w:p>
                    <w:p w14:paraId="2EEFEBE3" w14:textId="77777777" w:rsidR="00FE39FE" w:rsidRPr="00FE39FE" w:rsidRDefault="00FE39FE" w:rsidP="00FE39FE">
                      <w:pPr>
                        <w:rPr>
                          <w:rFonts w:ascii="Garamond" w:hAnsi="Garamond"/>
                          <w:b/>
                          <w:bCs/>
                          <w:color w:val="FFFFFF" w:themeColor="background1"/>
                          <w:sz w:val="16"/>
                          <w:szCs w:val="16"/>
                        </w:rPr>
                      </w:pPr>
                    </w:p>
                  </w:txbxContent>
                </v:textbox>
                <w10:wrap type="tight"/>
              </v:shape>
            </w:pict>
          </mc:Fallback>
        </mc:AlternateContent>
      </w:r>
      <w:r>
        <w:rPr>
          <w:rFonts w:ascii="Garamond" w:eastAsia="Garamond" w:hAnsi="Garamond" w:cs="Garamond"/>
          <w:color w:val="000000"/>
        </w:rPr>
        <w:t xml:space="preserve">informed that they can opt-out of receipt of cash payments or the study at any time. Finally, the participant will receive a preloaded debit card with the first month’s payment, and the </w:t>
      </w:r>
      <w:r>
        <w:rPr>
          <w:rFonts w:ascii="Garamond" w:eastAsia="Garamond" w:hAnsi="Garamond" w:cs="Garamond"/>
          <w:color w:val="222222"/>
          <w:highlight w:val="white"/>
        </w:rPr>
        <w:t>Program and Enrollment</w:t>
      </w:r>
      <w:r>
        <w:rPr>
          <w:rFonts w:ascii="Garamond" w:eastAsia="Garamond" w:hAnsi="Garamond" w:cs="Garamond"/>
          <w:color w:val="222222"/>
        </w:rPr>
        <w:t xml:space="preserve"> </w:t>
      </w:r>
      <w:r>
        <w:rPr>
          <w:rFonts w:ascii="Garamond" w:eastAsia="Garamond" w:hAnsi="Garamond" w:cs="Garamond"/>
          <w:color w:val="222222"/>
          <w:highlight w:val="white"/>
        </w:rPr>
        <w:t>Coordinator</w:t>
      </w:r>
      <w:r>
        <w:rPr>
          <w:rFonts w:ascii="Garamond" w:eastAsia="Garamond" w:hAnsi="Garamond" w:cs="Garamond"/>
          <w:color w:val="222222"/>
        </w:rPr>
        <w:t xml:space="preserve"> </w:t>
      </w:r>
      <w:r>
        <w:rPr>
          <w:rFonts w:ascii="Garamond" w:eastAsia="Garamond" w:hAnsi="Garamond" w:cs="Garamond"/>
          <w:color w:val="000000"/>
        </w:rPr>
        <w:t xml:space="preserve">will inform the participant that subsequent monthly payments will be automatically added to their debit card. </w:t>
      </w:r>
    </w:p>
    <w:p w14:paraId="529E5F52" w14:textId="7620A4B5" w:rsidR="00BA3FBD" w:rsidRDefault="00000000">
      <w:pPr>
        <w:widowControl w:val="0"/>
        <w:pBdr>
          <w:top w:val="nil"/>
          <w:left w:val="nil"/>
          <w:bottom w:val="nil"/>
          <w:right w:val="nil"/>
          <w:between w:val="nil"/>
        </w:pBdr>
        <w:spacing w:before="4" w:line="226" w:lineRule="auto"/>
        <w:ind w:left="132" w:right="15" w:firstLine="717"/>
        <w:rPr>
          <w:rFonts w:ascii="Garamond" w:eastAsia="Garamond" w:hAnsi="Garamond" w:cs="Garamond"/>
          <w:color w:val="000000"/>
        </w:rPr>
      </w:pPr>
      <w:r>
        <w:rPr>
          <w:rFonts w:ascii="Garamond" w:eastAsia="Garamond" w:hAnsi="Garamond" w:cs="Garamond"/>
          <w:color w:val="000000"/>
        </w:rPr>
        <w:t xml:space="preserve">Those who are randomized into the control group will receive $50 per month for 12 months. The treatment group will receive much larger monthly payments ranging from $800 to $2,000 depending on family type and month. These payments are roughly comparable to the average payment made by Abode’s RRH programs ($1,400) and will on average cover ½ to </w:t>
      </w:r>
      <w:r>
        <w:rPr>
          <w:rFonts w:ascii="Times New Roman" w:eastAsia="Times New Roman" w:hAnsi="Times New Roman" w:cs="Times New Roman"/>
          <w:color w:val="000000"/>
        </w:rPr>
        <w:t xml:space="preserve">⅔ </w:t>
      </w:r>
      <w:r>
        <w:rPr>
          <w:rFonts w:ascii="Garamond" w:eastAsia="Garamond" w:hAnsi="Garamond" w:cs="Garamond"/>
          <w:color w:val="000000"/>
        </w:rPr>
        <w:t xml:space="preserve">of monthly rent ($2,100). These payments are also comparable to other recently launched large-scale cash transfer studies (Bartik et al, 2020). Motivated by feedback from prior Abode RRH clients, the payments will be larger in the initial months than in later months to help with bigger expenses such as car repairs. Table 2 shows the payment schedule. We intend to stratify the randomization by family type given that families will receive larger amounts. </w:t>
      </w:r>
    </w:p>
    <w:p w14:paraId="20BBB085" w14:textId="77777777" w:rsidR="00BA3FBD" w:rsidRDefault="00000000">
      <w:pPr>
        <w:widowControl w:val="0"/>
        <w:pBdr>
          <w:top w:val="nil"/>
          <w:left w:val="nil"/>
          <w:bottom w:val="nil"/>
          <w:right w:val="nil"/>
          <w:between w:val="nil"/>
        </w:pBdr>
        <w:spacing w:before="2" w:line="240" w:lineRule="auto"/>
        <w:ind w:left="136"/>
        <w:rPr>
          <w:rFonts w:ascii="Garamond" w:eastAsia="Garamond" w:hAnsi="Garamond" w:cs="Garamond"/>
          <w:color w:val="000000"/>
        </w:rPr>
      </w:pPr>
      <w:r>
        <w:rPr>
          <w:rFonts w:ascii="Garamond" w:eastAsia="Garamond" w:hAnsi="Garamond" w:cs="Garamond"/>
          <w:color w:val="000000"/>
        </w:rPr>
        <w:t xml:space="preserve">Figure 1: Enrollment Process </w:t>
      </w:r>
    </w:p>
    <w:p w14:paraId="5B6FAF16" w14:textId="77777777" w:rsidR="00BA3FBD" w:rsidRDefault="00000000">
      <w:pPr>
        <w:widowControl w:val="0"/>
        <w:pBdr>
          <w:top w:val="nil"/>
          <w:left w:val="nil"/>
          <w:bottom w:val="nil"/>
          <w:right w:val="nil"/>
          <w:between w:val="nil"/>
        </w:pBdr>
        <w:spacing w:before="327" w:line="240" w:lineRule="auto"/>
        <w:ind w:right="7"/>
        <w:jc w:val="right"/>
        <w:rPr>
          <w:rFonts w:ascii="Garamond" w:eastAsia="Garamond" w:hAnsi="Garamond" w:cs="Garamond"/>
          <w:color w:val="000000"/>
        </w:rPr>
      </w:pPr>
      <w:r>
        <w:rPr>
          <w:rFonts w:ascii="Garamond" w:eastAsia="Garamond" w:hAnsi="Garamond" w:cs="Garamond"/>
          <w:noProof/>
          <w:color w:val="000000"/>
        </w:rPr>
        <w:drawing>
          <wp:inline distT="19050" distB="19050" distL="19050" distR="19050" wp14:anchorId="10BB2C8A" wp14:editId="77A8573D">
            <wp:extent cx="5943600" cy="2514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43600" cy="2514600"/>
                    </a:xfrm>
                    <a:prstGeom prst="rect">
                      <a:avLst/>
                    </a:prstGeom>
                    <a:ln/>
                  </pic:spPr>
                </pic:pic>
              </a:graphicData>
            </a:graphic>
          </wp:inline>
        </w:drawing>
      </w:r>
    </w:p>
    <w:p w14:paraId="669CD7D9" w14:textId="77777777" w:rsidR="00BA3FBD" w:rsidRDefault="00000000">
      <w:pPr>
        <w:widowControl w:val="0"/>
        <w:pBdr>
          <w:top w:val="nil"/>
          <w:left w:val="nil"/>
          <w:bottom w:val="nil"/>
          <w:right w:val="nil"/>
          <w:between w:val="nil"/>
        </w:pBdr>
        <w:spacing w:line="240" w:lineRule="auto"/>
        <w:ind w:left="129"/>
        <w:rPr>
          <w:rFonts w:ascii="Garamond" w:eastAsia="Garamond" w:hAnsi="Garamond" w:cs="Garamond"/>
          <w:color w:val="000000"/>
        </w:rPr>
      </w:pPr>
      <w:r>
        <w:rPr>
          <w:rFonts w:ascii="Garamond" w:eastAsia="Garamond" w:hAnsi="Garamond" w:cs="Garamond"/>
          <w:color w:val="000000"/>
        </w:rPr>
        <w:t xml:space="preserve">Table 2: Cash Transfer Payment Schedule </w:t>
      </w:r>
    </w:p>
    <w:tbl>
      <w:tblPr>
        <w:tblStyle w:val="a1"/>
        <w:tblW w:w="32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900"/>
        <w:gridCol w:w="880"/>
      </w:tblGrid>
      <w:tr w:rsidR="00BA3FBD" w14:paraId="3F55BCED" w14:textId="77777777">
        <w:trPr>
          <w:trHeight w:val="500"/>
        </w:trPr>
        <w:tc>
          <w:tcPr>
            <w:tcW w:w="1440" w:type="dxa"/>
            <w:tcMar>
              <w:top w:w="100" w:type="dxa"/>
              <w:left w:w="100" w:type="dxa"/>
              <w:bottom w:w="100" w:type="dxa"/>
              <w:right w:w="100" w:type="dxa"/>
            </w:tcMar>
          </w:tcPr>
          <w:p w14:paraId="2A119F83" w14:textId="77777777" w:rsidR="00BA3FBD" w:rsidRDefault="00000000">
            <w:pPr>
              <w:widowControl w:val="0"/>
              <w:pBdr>
                <w:top w:val="nil"/>
                <w:left w:val="nil"/>
                <w:bottom w:val="nil"/>
                <w:right w:val="nil"/>
                <w:between w:val="nil"/>
              </w:pBdr>
              <w:spacing w:line="240" w:lineRule="auto"/>
              <w:ind w:left="129"/>
              <w:rPr>
                <w:rFonts w:ascii="Garamond" w:eastAsia="Garamond" w:hAnsi="Garamond" w:cs="Garamond"/>
                <w:color w:val="000000"/>
              </w:rPr>
            </w:pPr>
            <w:r>
              <w:rPr>
                <w:rFonts w:ascii="Garamond" w:eastAsia="Garamond" w:hAnsi="Garamond" w:cs="Garamond"/>
                <w:color w:val="000000"/>
              </w:rPr>
              <w:lastRenderedPageBreak/>
              <w:t xml:space="preserve">Treatment </w:t>
            </w:r>
          </w:p>
          <w:p w14:paraId="01212BDA" w14:textId="77777777" w:rsidR="00BA3FBD" w:rsidRDefault="00000000">
            <w:pPr>
              <w:widowControl w:val="0"/>
              <w:pBdr>
                <w:top w:val="nil"/>
                <w:left w:val="nil"/>
                <w:bottom w:val="nil"/>
                <w:right w:val="nil"/>
                <w:between w:val="nil"/>
              </w:pBdr>
              <w:spacing w:line="240" w:lineRule="auto"/>
              <w:ind w:left="140"/>
              <w:rPr>
                <w:rFonts w:ascii="Garamond" w:eastAsia="Garamond" w:hAnsi="Garamond" w:cs="Garamond"/>
                <w:color w:val="000000"/>
              </w:rPr>
            </w:pPr>
            <w:r>
              <w:rPr>
                <w:rFonts w:ascii="Garamond" w:eastAsia="Garamond" w:hAnsi="Garamond" w:cs="Garamond"/>
                <w:color w:val="000000"/>
              </w:rPr>
              <w:t>Group</w:t>
            </w:r>
          </w:p>
        </w:tc>
        <w:tc>
          <w:tcPr>
            <w:tcW w:w="900" w:type="dxa"/>
            <w:tcMar>
              <w:top w:w="100" w:type="dxa"/>
              <w:left w:w="100" w:type="dxa"/>
              <w:bottom w:w="100" w:type="dxa"/>
              <w:right w:w="100" w:type="dxa"/>
            </w:tcMar>
          </w:tcPr>
          <w:p w14:paraId="709BF3B4" w14:textId="77777777" w:rsidR="00BA3FBD" w:rsidRDefault="00000000">
            <w:pPr>
              <w:widowControl w:val="0"/>
              <w:pBdr>
                <w:top w:val="nil"/>
                <w:left w:val="nil"/>
                <w:bottom w:val="nil"/>
                <w:right w:val="nil"/>
                <w:between w:val="nil"/>
              </w:pBdr>
              <w:spacing w:line="224" w:lineRule="auto"/>
              <w:ind w:left="146" w:right="79" w:hanging="14"/>
              <w:rPr>
                <w:rFonts w:ascii="Garamond" w:eastAsia="Garamond" w:hAnsi="Garamond" w:cs="Garamond"/>
                <w:color w:val="000000"/>
              </w:rPr>
            </w:pPr>
            <w:r>
              <w:rPr>
                <w:rFonts w:ascii="Garamond" w:eastAsia="Garamond" w:hAnsi="Garamond" w:cs="Garamond"/>
                <w:color w:val="000000"/>
              </w:rPr>
              <w:t>Months 1-4</w:t>
            </w:r>
          </w:p>
        </w:tc>
        <w:tc>
          <w:tcPr>
            <w:tcW w:w="880" w:type="dxa"/>
            <w:tcMar>
              <w:top w:w="100" w:type="dxa"/>
              <w:left w:w="100" w:type="dxa"/>
              <w:bottom w:w="100" w:type="dxa"/>
              <w:right w:w="100" w:type="dxa"/>
            </w:tcMar>
          </w:tcPr>
          <w:p w14:paraId="29E1325C" w14:textId="77777777" w:rsidR="00BA3FBD" w:rsidRDefault="00000000">
            <w:pPr>
              <w:widowControl w:val="0"/>
              <w:pBdr>
                <w:top w:val="nil"/>
                <w:left w:val="nil"/>
                <w:bottom w:val="nil"/>
                <w:right w:val="nil"/>
                <w:between w:val="nil"/>
              </w:pBdr>
              <w:spacing w:line="224" w:lineRule="auto"/>
              <w:ind w:left="126" w:right="74" w:hanging="9"/>
              <w:rPr>
                <w:rFonts w:ascii="Garamond" w:eastAsia="Garamond" w:hAnsi="Garamond" w:cs="Garamond"/>
                <w:color w:val="000000"/>
              </w:rPr>
            </w:pPr>
            <w:r>
              <w:rPr>
                <w:rFonts w:ascii="Garamond" w:eastAsia="Garamond" w:hAnsi="Garamond" w:cs="Garamond"/>
                <w:color w:val="000000"/>
              </w:rPr>
              <w:t>Months 5-12</w:t>
            </w:r>
          </w:p>
        </w:tc>
      </w:tr>
      <w:tr w:rsidR="00BA3FBD" w14:paraId="61FD366D" w14:textId="77777777">
        <w:trPr>
          <w:trHeight w:val="520"/>
        </w:trPr>
        <w:tc>
          <w:tcPr>
            <w:tcW w:w="1440" w:type="dxa"/>
            <w:tcMar>
              <w:top w:w="100" w:type="dxa"/>
              <w:left w:w="100" w:type="dxa"/>
              <w:bottom w:w="100" w:type="dxa"/>
              <w:right w:w="100" w:type="dxa"/>
            </w:tcMar>
          </w:tcPr>
          <w:p w14:paraId="573DB134" w14:textId="77777777" w:rsidR="00BA3FBD" w:rsidRDefault="00000000">
            <w:pPr>
              <w:widowControl w:val="0"/>
              <w:pBdr>
                <w:top w:val="nil"/>
                <w:left w:val="nil"/>
                <w:bottom w:val="nil"/>
                <w:right w:val="nil"/>
                <w:between w:val="nil"/>
              </w:pBdr>
              <w:spacing w:line="240" w:lineRule="auto"/>
              <w:ind w:left="138"/>
              <w:rPr>
                <w:rFonts w:ascii="Garamond" w:eastAsia="Garamond" w:hAnsi="Garamond" w:cs="Garamond"/>
                <w:color w:val="000000"/>
              </w:rPr>
            </w:pPr>
            <w:r>
              <w:rPr>
                <w:rFonts w:ascii="Garamond" w:eastAsia="Garamond" w:hAnsi="Garamond" w:cs="Garamond"/>
                <w:color w:val="000000"/>
              </w:rPr>
              <w:t xml:space="preserve">Singles / </w:t>
            </w:r>
          </w:p>
          <w:p w14:paraId="74C40150" w14:textId="77777777" w:rsidR="00BA3FBD" w:rsidRDefault="00000000">
            <w:pPr>
              <w:widowControl w:val="0"/>
              <w:pBdr>
                <w:top w:val="nil"/>
                <w:left w:val="nil"/>
                <w:bottom w:val="nil"/>
                <w:right w:val="nil"/>
                <w:between w:val="nil"/>
              </w:pBdr>
              <w:spacing w:line="240" w:lineRule="auto"/>
              <w:ind w:left="128"/>
              <w:rPr>
                <w:rFonts w:ascii="Garamond" w:eastAsia="Garamond" w:hAnsi="Garamond" w:cs="Garamond"/>
                <w:color w:val="000000"/>
              </w:rPr>
            </w:pPr>
            <w:r>
              <w:rPr>
                <w:rFonts w:ascii="Garamond" w:eastAsia="Garamond" w:hAnsi="Garamond" w:cs="Garamond"/>
                <w:color w:val="000000"/>
              </w:rPr>
              <w:t>Adults Only</w:t>
            </w:r>
          </w:p>
        </w:tc>
        <w:tc>
          <w:tcPr>
            <w:tcW w:w="900" w:type="dxa"/>
            <w:tcMar>
              <w:top w:w="100" w:type="dxa"/>
              <w:left w:w="100" w:type="dxa"/>
              <w:bottom w:w="100" w:type="dxa"/>
              <w:right w:w="100" w:type="dxa"/>
            </w:tcMar>
          </w:tcPr>
          <w:p w14:paraId="1E7349B5"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 xml:space="preserve">$1,650 </w:t>
            </w:r>
          </w:p>
        </w:tc>
        <w:tc>
          <w:tcPr>
            <w:tcW w:w="880" w:type="dxa"/>
            <w:tcMar>
              <w:top w:w="100" w:type="dxa"/>
              <w:left w:w="100" w:type="dxa"/>
              <w:bottom w:w="100" w:type="dxa"/>
              <w:right w:w="100" w:type="dxa"/>
            </w:tcMar>
          </w:tcPr>
          <w:p w14:paraId="47DF70F5" w14:textId="77777777" w:rsidR="00BA3FBD" w:rsidRDefault="00000000">
            <w:pPr>
              <w:widowControl w:val="0"/>
              <w:pBdr>
                <w:top w:val="nil"/>
                <w:left w:val="nil"/>
                <w:bottom w:val="nil"/>
                <w:right w:val="nil"/>
                <w:between w:val="nil"/>
              </w:pBdr>
              <w:spacing w:line="240" w:lineRule="auto"/>
              <w:ind w:left="124"/>
              <w:rPr>
                <w:rFonts w:ascii="Garamond" w:eastAsia="Garamond" w:hAnsi="Garamond" w:cs="Garamond"/>
                <w:color w:val="000000"/>
              </w:rPr>
            </w:pPr>
            <w:r>
              <w:rPr>
                <w:rFonts w:ascii="Garamond" w:eastAsia="Garamond" w:hAnsi="Garamond" w:cs="Garamond"/>
                <w:color w:val="000000"/>
              </w:rPr>
              <w:t>$800</w:t>
            </w:r>
          </w:p>
        </w:tc>
      </w:tr>
      <w:tr w:rsidR="00BA3FBD" w14:paraId="32D836D4" w14:textId="77777777">
        <w:trPr>
          <w:trHeight w:val="500"/>
        </w:trPr>
        <w:tc>
          <w:tcPr>
            <w:tcW w:w="1440" w:type="dxa"/>
            <w:tcMar>
              <w:top w:w="100" w:type="dxa"/>
              <w:left w:w="100" w:type="dxa"/>
              <w:bottom w:w="100" w:type="dxa"/>
              <w:right w:w="100" w:type="dxa"/>
            </w:tcMar>
          </w:tcPr>
          <w:p w14:paraId="4A1DE21E" w14:textId="77777777" w:rsidR="00BA3FBD" w:rsidRDefault="00000000">
            <w:pPr>
              <w:widowControl w:val="0"/>
              <w:pBdr>
                <w:top w:val="nil"/>
                <w:left w:val="nil"/>
                <w:bottom w:val="nil"/>
                <w:right w:val="nil"/>
                <w:between w:val="nil"/>
              </w:pBdr>
              <w:spacing w:line="224" w:lineRule="auto"/>
              <w:ind w:left="132" w:right="144" w:firstLine="3"/>
              <w:rPr>
                <w:rFonts w:ascii="Garamond" w:eastAsia="Garamond" w:hAnsi="Garamond" w:cs="Garamond"/>
                <w:color w:val="000000"/>
              </w:rPr>
            </w:pPr>
            <w:r>
              <w:rPr>
                <w:rFonts w:ascii="Garamond" w:eastAsia="Garamond" w:hAnsi="Garamond" w:cs="Garamond"/>
                <w:color w:val="000000"/>
              </w:rPr>
              <w:t>Families with Dependents</w:t>
            </w:r>
          </w:p>
        </w:tc>
        <w:tc>
          <w:tcPr>
            <w:tcW w:w="900" w:type="dxa"/>
            <w:tcMar>
              <w:top w:w="100" w:type="dxa"/>
              <w:left w:w="100" w:type="dxa"/>
              <w:bottom w:w="100" w:type="dxa"/>
              <w:right w:w="100" w:type="dxa"/>
            </w:tcMar>
          </w:tcPr>
          <w:p w14:paraId="77786FAA" w14:textId="77777777" w:rsidR="00BA3FBD" w:rsidRDefault="00000000">
            <w:pPr>
              <w:widowControl w:val="0"/>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color w:val="000000"/>
              </w:rPr>
              <w:t xml:space="preserve">$2,000 </w:t>
            </w:r>
          </w:p>
        </w:tc>
        <w:tc>
          <w:tcPr>
            <w:tcW w:w="880" w:type="dxa"/>
            <w:tcMar>
              <w:top w:w="100" w:type="dxa"/>
              <w:left w:w="100" w:type="dxa"/>
              <w:bottom w:w="100" w:type="dxa"/>
              <w:right w:w="100" w:type="dxa"/>
            </w:tcMar>
          </w:tcPr>
          <w:p w14:paraId="6260B3A2" w14:textId="77777777" w:rsidR="00BA3FBD" w:rsidRDefault="00000000">
            <w:pPr>
              <w:widowControl w:val="0"/>
              <w:pBdr>
                <w:top w:val="nil"/>
                <w:left w:val="nil"/>
                <w:bottom w:val="nil"/>
                <w:right w:val="nil"/>
                <w:between w:val="nil"/>
              </w:pBdr>
              <w:spacing w:line="240" w:lineRule="auto"/>
              <w:ind w:left="124"/>
              <w:rPr>
                <w:rFonts w:ascii="Garamond" w:eastAsia="Garamond" w:hAnsi="Garamond" w:cs="Garamond"/>
                <w:color w:val="000000"/>
              </w:rPr>
            </w:pPr>
            <w:r>
              <w:rPr>
                <w:rFonts w:ascii="Garamond" w:eastAsia="Garamond" w:hAnsi="Garamond" w:cs="Garamond"/>
                <w:color w:val="000000"/>
              </w:rPr>
              <w:t>$1,000</w:t>
            </w:r>
          </w:p>
        </w:tc>
      </w:tr>
    </w:tbl>
    <w:p w14:paraId="2BBC28DA" w14:textId="77777777" w:rsidR="00BA3FBD" w:rsidRDefault="00BA3FBD">
      <w:pPr>
        <w:widowControl w:val="0"/>
        <w:pBdr>
          <w:top w:val="nil"/>
          <w:left w:val="nil"/>
          <w:bottom w:val="nil"/>
          <w:right w:val="nil"/>
          <w:between w:val="nil"/>
        </w:pBdr>
        <w:rPr>
          <w:color w:val="000000"/>
        </w:rPr>
      </w:pPr>
    </w:p>
    <w:p w14:paraId="6C77F1C2" w14:textId="77777777" w:rsidR="00BA3FBD" w:rsidRDefault="00BA3FBD">
      <w:pPr>
        <w:widowControl w:val="0"/>
        <w:pBdr>
          <w:top w:val="nil"/>
          <w:left w:val="nil"/>
          <w:bottom w:val="nil"/>
          <w:right w:val="nil"/>
          <w:between w:val="nil"/>
        </w:pBdr>
        <w:rPr>
          <w:color w:val="000000"/>
        </w:rPr>
      </w:pPr>
    </w:p>
    <w:p w14:paraId="50829304" w14:textId="3284B32D" w:rsidR="00BA3FBD" w:rsidRDefault="00000000">
      <w:pPr>
        <w:widowControl w:val="0"/>
        <w:pBdr>
          <w:top w:val="nil"/>
          <w:left w:val="nil"/>
          <w:bottom w:val="nil"/>
          <w:right w:val="nil"/>
          <w:between w:val="nil"/>
        </w:pBdr>
        <w:spacing w:line="240" w:lineRule="auto"/>
        <w:ind w:left="139"/>
        <w:rPr>
          <w:rFonts w:ascii="Garamond" w:eastAsia="Garamond" w:hAnsi="Garamond" w:cs="Garamond"/>
          <w:b/>
          <w:color w:val="000000"/>
        </w:rPr>
      </w:pPr>
      <w:r>
        <w:rPr>
          <w:rFonts w:ascii="Garamond" w:eastAsia="Garamond" w:hAnsi="Garamond" w:cs="Garamond"/>
          <w:b/>
          <w:color w:val="000000"/>
          <w:highlight w:val="white"/>
        </w:rPr>
        <w:t>C3. Data</w:t>
      </w:r>
      <w:r>
        <w:rPr>
          <w:rFonts w:ascii="Garamond" w:eastAsia="Garamond" w:hAnsi="Garamond" w:cs="Garamond"/>
          <w:b/>
          <w:color w:val="000000"/>
        </w:rPr>
        <w:t xml:space="preserve"> </w:t>
      </w:r>
    </w:p>
    <w:p w14:paraId="3C4EDDBD" w14:textId="30590521" w:rsidR="00BA3FBD" w:rsidRDefault="00FE39FE">
      <w:pPr>
        <w:widowControl w:val="0"/>
        <w:pBdr>
          <w:top w:val="nil"/>
          <w:left w:val="nil"/>
          <w:bottom w:val="nil"/>
          <w:right w:val="nil"/>
          <w:between w:val="nil"/>
        </w:pBdr>
        <w:spacing w:line="224" w:lineRule="auto"/>
        <w:ind w:left="128"/>
        <w:jc w:val="both"/>
        <w:rPr>
          <w:rFonts w:ascii="Garamond" w:eastAsia="Garamond" w:hAnsi="Garamond" w:cs="Garamond"/>
          <w:color w:val="000000"/>
        </w:rPr>
      </w:pPr>
      <w:r>
        <w:rPr>
          <w:rFonts w:ascii="Garamond" w:eastAsia="Garamond" w:hAnsi="Garamond" w:cs="Garamond"/>
          <w:b/>
          <w:noProof/>
          <w:color w:val="000000"/>
        </w:rPr>
        <mc:AlternateContent>
          <mc:Choice Requires="wps">
            <w:drawing>
              <wp:anchor distT="0" distB="0" distL="114300" distR="114300" simplePos="0" relativeHeight="251669504" behindDoc="1" locked="0" layoutInCell="1" allowOverlap="1" wp14:anchorId="6292693A" wp14:editId="1925B754">
                <wp:simplePos x="0" y="0"/>
                <wp:positionH relativeFrom="column">
                  <wp:posOffset>5461635</wp:posOffset>
                </wp:positionH>
                <wp:positionV relativeFrom="paragraph">
                  <wp:posOffset>13335</wp:posOffset>
                </wp:positionV>
                <wp:extent cx="1158875" cy="1953895"/>
                <wp:effectExtent l="0" t="0" r="0" b="1905"/>
                <wp:wrapTight wrapText="bothSides">
                  <wp:wrapPolygon edited="0">
                    <wp:start x="0" y="0"/>
                    <wp:lineTo x="0" y="21481"/>
                    <wp:lineTo x="21304" y="21481"/>
                    <wp:lineTo x="21304" y="0"/>
                    <wp:lineTo x="0" y="0"/>
                  </wp:wrapPolygon>
                </wp:wrapTight>
                <wp:docPr id="1384106552" name="Text Box 1"/>
                <wp:cNvGraphicFramePr/>
                <a:graphic xmlns:a="http://schemas.openxmlformats.org/drawingml/2006/main">
                  <a:graphicData uri="http://schemas.microsoft.com/office/word/2010/wordprocessingShape">
                    <wps:wsp>
                      <wps:cNvSpPr txBox="1"/>
                      <wps:spPr>
                        <a:xfrm>
                          <a:off x="0" y="0"/>
                          <a:ext cx="1158875" cy="1953895"/>
                        </a:xfrm>
                        <a:prstGeom prst="rect">
                          <a:avLst/>
                        </a:prstGeom>
                        <a:solidFill>
                          <a:srgbClr val="E35925"/>
                        </a:solidFill>
                        <a:ln w="6350">
                          <a:noFill/>
                        </a:ln>
                      </wps:spPr>
                      <wps:txbx>
                        <w:txbxContent>
                          <w:p w14:paraId="56409FB1" w14:textId="77777777" w:rsidR="00FE39FE" w:rsidRPr="00FE39FE" w:rsidRDefault="00FE39FE" w:rsidP="00FE39FE">
                            <w:pPr>
                              <w:rPr>
                                <w:rFonts w:ascii="Garamond" w:hAnsi="Garamond"/>
                                <w:b/>
                                <w:bCs/>
                                <w:color w:val="FFFFFF" w:themeColor="background1"/>
                                <w:sz w:val="16"/>
                                <w:szCs w:val="16"/>
                              </w:rPr>
                            </w:pPr>
                            <w:r w:rsidRPr="00FE39FE">
                              <w:rPr>
                                <w:rFonts w:ascii="Garamond" w:hAnsi="Garamond"/>
                                <w:b/>
                                <w:bCs/>
                                <w:color w:val="FFFFFF" w:themeColor="background1"/>
                                <w:sz w:val="16"/>
                                <w:szCs w:val="16"/>
                              </w:rPr>
                              <w:t>Proposals should address any threats to validity and plans to address threats.</w:t>
                            </w:r>
                          </w:p>
                          <w:p w14:paraId="74336423" w14:textId="77777777" w:rsidR="00FE39FE" w:rsidRPr="00FE39FE" w:rsidRDefault="00FE39FE" w:rsidP="00FE39FE">
                            <w:pPr>
                              <w:rPr>
                                <w:rFonts w:ascii="Garamond" w:hAnsi="Garamond"/>
                                <w:b/>
                                <w:bCs/>
                                <w:color w:val="FFFFFF" w:themeColor="background1"/>
                                <w:sz w:val="16"/>
                                <w:szCs w:val="16"/>
                              </w:rPr>
                            </w:pPr>
                            <w:r w:rsidRPr="00FE39FE">
                              <w:rPr>
                                <w:rFonts w:ascii="Garamond" w:hAnsi="Garamond"/>
                                <w:b/>
                                <w:bCs/>
                                <w:color w:val="FFFFFF" w:themeColor="background1"/>
                                <w:sz w:val="16"/>
                                <w:szCs w:val="16"/>
                              </w:rPr>
                              <w:t>Here, the PIs propose linking administrative data across domains (housing, financial, health, education, criminal justice) which strengthens validity by reducing the risk of recall error and non-response.</w:t>
                            </w:r>
                          </w:p>
                          <w:p w14:paraId="108FB585" w14:textId="77777777" w:rsidR="00FE39FE" w:rsidRPr="00FE39FE" w:rsidRDefault="00FE39FE" w:rsidP="00FE39FE">
                            <w:pPr>
                              <w:rPr>
                                <w:rFonts w:ascii="Garamond" w:hAnsi="Garamond"/>
                                <w:b/>
                                <w:bCs/>
                                <w:color w:val="FFFFFF" w:themeColor="background1"/>
                                <w:sz w:val="16"/>
                                <w:szCs w:val="16"/>
                              </w:rPr>
                            </w:pPr>
                          </w:p>
                          <w:p w14:paraId="2FD26367" w14:textId="77777777" w:rsidR="00FE39FE" w:rsidRPr="00FE39FE" w:rsidRDefault="00FE39FE" w:rsidP="00FE39FE">
                            <w:pPr>
                              <w:rPr>
                                <w:rFonts w:ascii="Garamond" w:hAnsi="Garamond"/>
                                <w:b/>
                                <w:bCs/>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2693A" id="_x0000_s1031" type="#_x0000_t202" style="position:absolute;left:0;text-align:left;margin-left:430.05pt;margin-top:1.05pt;width:91.25pt;height:153.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" fillcolor="#e35925" stroked="f" strokeweight=".5pt">
                <v:textbox>
                  <w:txbxContent>
                    <w:p w14:paraId="56409FB1" w14:textId="77777777" w:rsidR="00FE39FE" w:rsidRPr="00FE39FE" w:rsidRDefault="00FE39FE" w:rsidP="00FE39FE">
                      <w:pPr>
                        <w:rPr>
                          <w:rFonts w:ascii="Garamond" w:hAnsi="Garamond"/>
                          <w:b/>
                          <w:bCs/>
                          <w:color w:val="FFFFFF" w:themeColor="background1"/>
                          <w:sz w:val="16"/>
                          <w:szCs w:val="16"/>
                        </w:rPr>
                      </w:pPr>
                      <w:r w:rsidRPr="00FE39FE">
                        <w:rPr>
                          <w:rFonts w:ascii="Garamond" w:hAnsi="Garamond"/>
                          <w:b/>
                          <w:bCs/>
                          <w:color w:val="FFFFFF" w:themeColor="background1"/>
                          <w:sz w:val="16"/>
                          <w:szCs w:val="16"/>
                        </w:rPr>
                        <w:t>Proposals should address any threats to validity and plans to address threats.</w:t>
                      </w:r>
                    </w:p>
                    <w:p w14:paraId="74336423" w14:textId="77777777" w:rsidR="00FE39FE" w:rsidRPr="00FE39FE" w:rsidRDefault="00FE39FE" w:rsidP="00FE39FE">
                      <w:pPr>
                        <w:rPr>
                          <w:rFonts w:ascii="Garamond" w:hAnsi="Garamond"/>
                          <w:b/>
                          <w:bCs/>
                          <w:color w:val="FFFFFF" w:themeColor="background1"/>
                          <w:sz w:val="16"/>
                          <w:szCs w:val="16"/>
                        </w:rPr>
                      </w:pPr>
                      <w:r w:rsidRPr="00FE39FE">
                        <w:rPr>
                          <w:rFonts w:ascii="Garamond" w:hAnsi="Garamond"/>
                          <w:b/>
                          <w:bCs/>
                          <w:color w:val="FFFFFF" w:themeColor="background1"/>
                          <w:sz w:val="16"/>
                          <w:szCs w:val="16"/>
                        </w:rPr>
                        <w:t>Here, the PIs propose linking administrative data across domains (housing, financial, health, education, criminal justice) which strengthens validity by reducing the risk of recall error and non-response.</w:t>
                      </w:r>
                    </w:p>
                    <w:p w14:paraId="108FB585" w14:textId="77777777" w:rsidR="00FE39FE" w:rsidRPr="00FE39FE" w:rsidRDefault="00FE39FE" w:rsidP="00FE39FE">
                      <w:pPr>
                        <w:rPr>
                          <w:rFonts w:ascii="Garamond" w:hAnsi="Garamond"/>
                          <w:b/>
                          <w:bCs/>
                          <w:color w:val="FFFFFF" w:themeColor="background1"/>
                          <w:sz w:val="16"/>
                          <w:szCs w:val="16"/>
                        </w:rPr>
                      </w:pPr>
                    </w:p>
                    <w:p w14:paraId="2FD26367" w14:textId="77777777" w:rsidR="00FE39FE" w:rsidRPr="00FE39FE" w:rsidRDefault="00FE39FE" w:rsidP="00FE39FE">
                      <w:pPr>
                        <w:rPr>
                          <w:rFonts w:ascii="Garamond" w:hAnsi="Garamond"/>
                          <w:b/>
                          <w:bCs/>
                          <w:color w:val="FFFFFF" w:themeColor="background1"/>
                          <w:sz w:val="16"/>
                          <w:szCs w:val="16"/>
                        </w:rPr>
                      </w:pPr>
                    </w:p>
                  </w:txbxContent>
                </v:textbox>
                <w10:wrap type="tight"/>
              </v:shape>
            </w:pict>
          </mc:Fallback>
        </mc:AlternateContent>
      </w:r>
      <w:r>
        <w:rPr>
          <w:rFonts w:ascii="Garamond" w:eastAsia="Garamond" w:hAnsi="Garamond" w:cs="Garamond"/>
          <w:color w:val="000000"/>
        </w:rPr>
        <w:t xml:space="preserve">We will link study participants to administrative data using the personally identifiable information (e.g., name, date of birth) collected during the intake survey. We will measure homelessness as the use of homelessness services such as shelter stays or street outreach through the county-level Homeless Management Information Systems (HMIS) where Abode Services operates. We will access information for other outcomes through a variety of other administrative data sources, including address history information (through the consumer reference database, </w:t>
      </w:r>
      <w:proofErr w:type="spellStart"/>
      <w:r>
        <w:rPr>
          <w:rFonts w:ascii="Garamond" w:eastAsia="Garamond" w:hAnsi="Garamond" w:cs="Garamond"/>
          <w:color w:val="000000"/>
        </w:rPr>
        <w:t>Infutor</w:t>
      </w:r>
      <w:proofErr w:type="spellEnd"/>
      <w:r>
        <w:rPr>
          <w:rFonts w:ascii="Garamond" w:eastAsia="Garamond" w:hAnsi="Garamond" w:cs="Garamond"/>
          <w:color w:val="000000"/>
        </w:rPr>
        <w:t xml:space="preserve">), financial well-being outcomes (through credit bureau records from Experian), health care utilization (through Medi-Cal records), criminal justice data (through arrest records), child education (through state school records), and employment and earnings (through unemployment insurance records). If we can secure additional funding beyond this grant, we also intend to collect outcomes not available in administrative data (e.g., indicators of mental, emotional, and physical well-being) through two follow-up surveys one and two years after baseline. Finally, we will examine how individuals spend cash transfers. However, this analysis will be limited because we will not observe all spending, only transactions made directly with the debit card. </w:t>
      </w:r>
    </w:p>
    <w:p w14:paraId="389D7AF8" w14:textId="407E0005" w:rsidR="00BA3FBD" w:rsidRDefault="001135D6">
      <w:pPr>
        <w:widowControl w:val="0"/>
        <w:pBdr>
          <w:top w:val="nil"/>
          <w:left w:val="nil"/>
          <w:bottom w:val="nil"/>
          <w:right w:val="nil"/>
          <w:between w:val="nil"/>
        </w:pBdr>
        <w:spacing w:before="4" w:line="240" w:lineRule="auto"/>
        <w:ind w:left="139"/>
        <w:rPr>
          <w:rFonts w:ascii="Garamond" w:eastAsia="Garamond" w:hAnsi="Garamond" w:cs="Garamond"/>
          <w:b/>
          <w:color w:val="000000"/>
        </w:rPr>
      </w:pPr>
      <w:r>
        <w:rPr>
          <w:rFonts w:ascii="Garamond" w:eastAsia="Garamond" w:hAnsi="Garamond" w:cs="Garamond"/>
          <w:b/>
          <w:noProof/>
          <w:color w:val="000000"/>
        </w:rPr>
        <mc:AlternateContent>
          <mc:Choice Requires="wps">
            <w:drawing>
              <wp:anchor distT="0" distB="0" distL="114300" distR="114300" simplePos="0" relativeHeight="251671552" behindDoc="1" locked="0" layoutInCell="1" allowOverlap="1" wp14:anchorId="1262D48F" wp14:editId="57A74AA2">
                <wp:simplePos x="0" y="0"/>
                <wp:positionH relativeFrom="column">
                  <wp:posOffset>-524510</wp:posOffset>
                </wp:positionH>
                <wp:positionV relativeFrom="paragraph">
                  <wp:posOffset>196850</wp:posOffset>
                </wp:positionV>
                <wp:extent cx="1487170" cy="2484755"/>
                <wp:effectExtent l="0" t="0" r="0" b="4445"/>
                <wp:wrapTight wrapText="bothSides">
                  <wp:wrapPolygon edited="0">
                    <wp:start x="0" y="0"/>
                    <wp:lineTo x="0" y="21528"/>
                    <wp:lineTo x="21397" y="21528"/>
                    <wp:lineTo x="21397" y="0"/>
                    <wp:lineTo x="0" y="0"/>
                  </wp:wrapPolygon>
                </wp:wrapTight>
                <wp:docPr id="372518482" name="Text Box 1"/>
                <wp:cNvGraphicFramePr/>
                <a:graphic xmlns:a="http://schemas.openxmlformats.org/drawingml/2006/main">
                  <a:graphicData uri="http://schemas.microsoft.com/office/word/2010/wordprocessingShape">
                    <wps:wsp>
                      <wps:cNvSpPr txBox="1"/>
                      <wps:spPr>
                        <a:xfrm>
                          <a:off x="0" y="0"/>
                          <a:ext cx="1487170" cy="2484755"/>
                        </a:xfrm>
                        <a:prstGeom prst="rect">
                          <a:avLst/>
                        </a:prstGeom>
                        <a:solidFill>
                          <a:srgbClr val="E35925"/>
                        </a:solidFill>
                        <a:ln w="6350">
                          <a:noFill/>
                        </a:ln>
                      </wps:spPr>
                      <wps:txbx>
                        <w:txbxContent>
                          <w:p w14:paraId="66C43412" w14:textId="76D8D454" w:rsidR="00FE39FE" w:rsidRPr="00FE39FE" w:rsidRDefault="00FE39FE" w:rsidP="00FE39FE">
                            <w:pPr>
                              <w:rPr>
                                <w:rFonts w:ascii="Garamond" w:hAnsi="Garamond"/>
                                <w:b/>
                                <w:bCs/>
                                <w:color w:val="FFFFFF" w:themeColor="background1"/>
                                <w:sz w:val="16"/>
                                <w:szCs w:val="16"/>
                              </w:rPr>
                            </w:pPr>
                            <w:r w:rsidRPr="00FE39FE">
                              <w:rPr>
                                <w:rFonts w:ascii="Garamond" w:hAnsi="Garamond"/>
                                <w:b/>
                                <w:bCs/>
                                <w:color w:val="FFFFFF" w:themeColor="background1"/>
                                <w:sz w:val="16"/>
                                <w:szCs w:val="16"/>
                              </w:rPr>
                              <w:t>Full study proposals must include a robust discussion of power, including</w:t>
                            </w:r>
                            <w:r w:rsidR="00076539">
                              <w:rPr>
                                <w:rFonts w:ascii="Garamond" w:hAnsi="Garamond"/>
                                <w:b/>
                                <w:bCs/>
                                <w:color w:val="FFFFFF" w:themeColor="background1"/>
                                <w:sz w:val="16"/>
                                <w:szCs w:val="16"/>
                              </w:rPr>
                              <w:t xml:space="preserve"> the following</w:t>
                            </w:r>
                            <w:r w:rsidRPr="00FE39FE">
                              <w:rPr>
                                <w:rFonts w:ascii="Garamond" w:hAnsi="Garamond"/>
                                <w:b/>
                                <w:bCs/>
                                <w:color w:val="FFFFFF" w:themeColor="background1"/>
                                <w:sz w:val="16"/>
                                <w:szCs w:val="16"/>
                              </w:rPr>
                              <w:t xml:space="preserve">: parameters of chosen average effect size (ITT, LATE, </w:t>
                            </w:r>
                            <w:proofErr w:type="spellStart"/>
                            <w:r w:rsidRPr="00FE39FE">
                              <w:rPr>
                                <w:rFonts w:ascii="Garamond" w:hAnsi="Garamond"/>
                                <w:b/>
                                <w:bCs/>
                                <w:color w:val="FFFFFF" w:themeColor="background1"/>
                                <w:sz w:val="16"/>
                                <w:szCs w:val="16"/>
                              </w:rPr>
                              <w:t>etc</w:t>
                            </w:r>
                            <w:proofErr w:type="spellEnd"/>
                            <w:r w:rsidRPr="00FE39FE">
                              <w:rPr>
                                <w:rFonts w:ascii="Garamond" w:hAnsi="Garamond"/>
                                <w:b/>
                                <w:bCs/>
                                <w:color w:val="FFFFFF" w:themeColor="background1"/>
                                <w:sz w:val="16"/>
                                <w:szCs w:val="16"/>
                              </w:rPr>
                              <w:t xml:space="preserve">); outcome(s) on which power calculations are based; units used in power calculations; minimum detectable effect size, </w:t>
                            </w:r>
                            <w:r w:rsidR="00076539">
                              <w:rPr>
                                <w:rFonts w:ascii="Garamond" w:hAnsi="Garamond"/>
                                <w:b/>
                                <w:bCs/>
                                <w:color w:val="FFFFFF" w:themeColor="background1"/>
                                <w:sz w:val="16"/>
                                <w:szCs w:val="16"/>
                              </w:rPr>
                              <w:t xml:space="preserve">and </w:t>
                            </w:r>
                            <w:r w:rsidRPr="00FE39FE">
                              <w:rPr>
                                <w:rFonts w:ascii="Garamond" w:hAnsi="Garamond"/>
                                <w:b/>
                                <w:bCs/>
                                <w:color w:val="FFFFFF" w:themeColor="background1"/>
                                <w:sz w:val="16"/>
                                <w:szCs w:val="16"/>
                              </w:rPr>
                              <w:t>underlying assumptions about sample and take up rates.</w:t>
                            </w:r>
                          </w:p>
                          <w:p w14:paraId="3D848909" w14:textId="77777777" w:rsidR="00FE39FE" w:rsidRPr="00FE39FE" w:rsidRDefault="00FE39FE" w:rsidP="00FE39FE">
                            <w:pPr>
                              <w:rPr>
                                <w:rFonts w:ascii="Garamond" w:hAnsi="Garamond"/>
                                <w:b/>
                                <w:bCs/>
                                <w:color w:val="FFFFFF" w:themeColor="background1"/>
                                <w:sz w:val="16"/>
                                <w:szCs w:val="16"/>
                              </w:rPr>
                            </w:pPr>
                          </w:p>
                          <w:p w14:paraId="47B2BFE0" w14:textId="1D34D1E8" w:rsidR="00FE39FE" w:rsidRPr="00FE39FE" w:rsidRDefault="00FE39FE" w:rsidP="00FE39FE">
                            <w:pPr>
                              <w:rPr>
                                <w:rFonts w:ascii="Garamond" w:hAnsi="Garamond"/>
                                <w:b/>
                                <w:bCs/>
                                <w:color w:val="FFFFFF" w:themeColor="background1"/>
                                <w:sz w:val="16"/>
                                <w:szCs w:val="16"/>
                              </w:rPr>
                            </w:pPr>
                            <w:r w:rsidRPr="00FE39FE">
                              <w:rPr>
                                <w:rFonts w:ascii="Garamond" w:hAnsi="Garamond"/>
                                <w:b/>
                                <w:bCs/>
                                <w:color w:val="FFFFFF" w:themeColor="background1"/>
                                <w:sz w:val="16"/>
                                <w:szCs w:val="16"/>
                              </w:rPr>
                              <w:t xml:space="preserve">Here, the PIs provide a well-justified power </w:t>
                            </w:r>
                            <w:r w:rsidR="00076539">
                              <w:rPr>
                                <w:rFonts w:ascii="Garamond" w:hAnsi="Garamond"/>
                                <w:b/>
                                <w:bCs/>
                                <w:color w:val="FFFFFF" w:themeColor="background1"/>
                                <w:sz w:val="16"/>
                                <w:szCs w:val="16"/>
                              </w:rPr>
                              <w:t>calculation</w:t>
                            </w:r>
                            <w:r w:rsidRPr="00FE39FE">
                              <w:rPr>
                                <w:rFonts w:ascii="Garamond" w:hAnsi="Garamond"/>
                                <w:b/>
                                <w:bCs/>
                                <w:color w:val="FFFFFF" w:themeColor="background1"/>
                                <w:sz w:val="16"/>
                                <w:szCs w:val="16"/>
                              </w:rPr>
                              <w:t xml:space="preserve"> showing MDE relative to the baseline rate of homelessness.</w:t>
                            </w:r>
                          </w:p>
                          <w:p w14:paraId="6819FAAD" w14:textId="77777777" w:rsidR="00FE39FE" w:rsidRPr="00FE39FE" w:rsidRDefault="00FE39FE" w:rsidP="00FE39FE">
                            <w:pPr>
                              <w:rPr>
                                <w:rFonts w:ascii="Garamond" w:hAnsi="Garamond"/>
                                <w:b/>
                                <w:bCs/>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2D48F" id="_x0000_s1032" type="#_x0000_t202" style="position:absolute;left:0;text-align:left;margin-left:-41.3pt;margin-top:15.5pt;width:117.1pt;height:195.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" fillcolor="#e35925" stroked="f" strokeweight=".5pt">
                <v:textbox>
                  <w:txbxContent>
                    <w:p w14:paraId="66C43412" w14:textId="76D8D454" w:rsidR="00FE39FE" w:rsidRPr="00FE39FE" w:rsidRDefault="00FE39FE" w:rsidP="00FE39FE">
                      <w:pPr>
                        <w:rPr>
                          <w:rFonts w:ascii="Garamond" w:hAnsi="Garamond"/>
                          <w:b/>
                          <w:bCs/>
                          <w:color w:val="FFFFFF" w:themeColor="background1"/>
                          <w:sz w:val="16"/>
                          <w:szCs w:val="16"/>
                        </w:rPr>
                      </w:pPr>
                      <w:r w:rsidRPr="00FE39FE">
                        <w:rPr>
                          <w:rFonts w:ascii="Garamond" w:hAnsi="Garamond"/>
                          <w:b/>
                          <w:bCs/>
                          <w:color w:val="FFFFFF" w:themeColor="background1"/>
                          <w:sz w:val="16"/>
                          <w:szCs w:val="16"/>
                        </w:rPr>
                        <w:t>Full study proposals must include a robust discussion of power, including</w:t>
                      </w:r>
                      <w:r w:rsidR="00076539">
                        <w:rPr>
                          <w:rFonts w:ascii="Garamond" w:hAnsi="Garamond"/>
                          <w:b/>
                          <w:bCs/>
                          <w:color w:val="FFFFFF" w:themeColor="background1"/>
                          <w:sz w:val="16"/>
                          <w:szCs w:val="16"/>
                        </w:rPr>
                        <w:t xml:space="preserve"> the following</w:t>
                      </w:r>
                      <w:r w:rsidRPr="00FE39FE">
                        <w:rPr>
                          <w:rFonts w:ascii="Garamond" w:hAnsi="Garamond"/>
                          <w:b/>
                          <w:bCs/>
                          <w:color w:val="FFFFFF" w:themeColor="background1"/>
                          <w:sz w:val="16"/>
                          <w:szCs w:val="16"/>
                        </w:rPr>
                        <w:t xml:space="preserve">: parameters of chosen average effect size (ITT, LATE, </w:t>
                      </w:r>
                      <w:proofErr w:type="spellStart"/>
                      <w:r w:rsidRPr="00FE39FE">
                        <w:rPr>
                          <w:rFonts w:ascii="Garamond" w:hAnsi="Garamond"/>
                          <w:b/>
                          <w:bCs/>
                          <w:color w:val="FFFFFF" w:themeColor="background1"/>
                          <w:sz w:val="16"/>
                          <w:szCs w:val="16"/>
                        </w:rPr>
                        <w:t>etc</w:t>
                      </w:r>
                      <w:proofErr w:type="spellEnd"/>
                      <w:r w:rsidRPr="00FE39FE">
                        <w:rPr>
                          <w:rFonts w:ascii="Garamond" w:hAnsi="Garamond"/>
                          <w:b/>
                          <w:bCs/>
                          <w:color w:val="FFFFFF" w:themeColor="background1"/>
                          <w:sz w:val="16"/>
                          <w:szCs w:val="16"/>
                        </w:rPr>
                        <w:t xml:space="preserve">); outcome(s) on which power calculations are based; units used in power calculations; minimum detectable effect size, </w:t>
                      </w:r>
                      <w:r w:rsidR="00076539">
                        <w:rPr>
                          <w:rFonts w:ascii="Garamond" w:hAnsi="Garamond"/>
                          <w:b/>
                          <w:bCs/>
                          <w:color w:val="FFFFFF" w:themeColor="background1"/>
                          <w:sz w:val="16"/>
                          <w:szCs w:val="16"/>
                        </w:rPr>
                        <w:t xml:space="preserve">and </w:t>
                      </w:r>
                      <w:r w:rsidRPr="00FE39FE">
                        <w:rPr>
                          <w:rFonts w:ascii="Garamond" w:hAnsi="Garamond"/>
                          <w:b/>
                          <w:bCs/>
                          <w:color w:val="FFFFFF" w:themeColor="background1"/>
                          <w:sz w:val="16"/>
                          <w:szCs w:val="16"/>
                        </w:rPr>
                        <w:t>underlying assumptions about sample and take up rates.</w:t>
                      </w:r>
                    </w:p>
                    <w:p w14:paraId="3D848909" w14:textId="77777777" w:rsidR="00FE39FE" w:rsidRPr="00FE39FE" w:rsidRDefault="00FE39FE" w:rsidP="00FE39FE">
                      <w:pPr>
                        <w:rPr>
                          <w:rFonts w:ascii="Garamond" w:hAnsi="Garamond"/>
                          <w:b/>
                          <w:bCs/>
                          <w:color w:val="FFFFFF" w:themeColor="background1"/>
                          <w:sz w:val="16"/>
                          <w:szCs w:val="16"/>
                        </w:rPr>
                      </w:pPr>
                    </w:p>
                    <w:p w14:paraId="47B2BFE0" w14:textId="1D34D1E8" w:rsidR="00FE39FE" w:rsidRPr="00FE39FE" w:rsidRDefault="00FE39FE" w:rsidP="00FE39FE">
                      <w:pPr>
                        <w:rPr>
                          <w:rFonts w:ascii="Garamond" w:hAnsi="Garamond"/>
                          <w:b/>
                          <w:bCs/>
                          <w:color w:val="FFFFFF" w:themeColor="background1"/>
                          <w:sz w:val="16"/>
                          <w:szCs w:val="16"/>
                        </w:rPr>
                      </w:pPr>
                      <w:r w:rsidRPr="00FE39FE">
                        <w:rPr>
                          <w:rFonts w:ascii="Garamond" w:hAnsi="Garamond"/>
                          <w:b/>
                          <w:bCs/>
                          <w:color w:val="FFFFFF" w:themeColor="background1"/>
                          <w:sz w:val="16"/>
                          <w:szCs w:val="16"/>
                        </w:rPr>
                        <w:t xml:space="preserve">Here, the PIs provide a well-justified power </w:t>
                      </w:r>
                      <w:r w:rsidR="00076539">
                        <w:rPr>
                          <w:rFonts w:ascii="Garamond" w:hAnsi="Garamond"/>
                          <w:b/>
                          <w:bCs/>
                          <w:color w:val="FFFFFF" w:themeColor="background1"/>
                          <w:sz w:val="16"/>
                          <w:szCs w:val="16"/>
                        </w:rPr>
                        <w:t>calculation</w:t>
                      </w:r>
                      <w:r w:rsidRPr="00FE39FE">
                        <w:rPr>
                          <w:rFonts w:ascii="Garamond" w:hAnsi="Garamond"/>
                          <w:b/>
                          <w:bCs/>
                          <w:color w:val="FFFFFF" w:themeColor="background1"/>
                          <w:sz w:val="16"/>
                          <w:szCs w:val="16"/>
                        </w:rPr>
                        <w:t xml:space="preserve"> showing MDE relative to the baseline rate of homelessness.</w:t>
                      </w:r>
                    </w:p>
                    <w:p w14:paraId="6819FAAD" w14:textId="77777777" w:rsidR="00FE39FE" w:rsidRPr="00FE39FE" w:rsidRDefault="00FE39FE" w:rsidP="00FE39FE">
                      <w:pPr>
                        <w:rPr>
                          <w:rFonts w:ascii="Garamond" w:hAnsi="Garamond"/>
                          <w:b/>
                          <w:bCs/>
                          <w:color w:val="FFFFFF" w:themeColor="background1"/>
                          <w:sz w:val="16"/>
                          <w:szCs w:val="16"/>
                        </w:rPr>
                      </w:pPr>
                    </w:p>
                  </w:txbxContent>
                </v:textbox>
                <w10:wrap type="tight"/>
              </v:shape>
            </w:pict>
          </mc:Fallback>
        </mc:AlternateContent>
      </w:r>
      <w:r w:rsidR="00FE39FE">
        <w:rPr>
          <w:rFonts w:ascii="Garamond" w:eastAsia="Garamond" w:hAnsi="Garamond" w:cs="Garamond"/>
          <w:b/>
          <w:color w:val="000000"/>
          <w:highlight w:val="white"/>
        </w:rPr>
        <w:t>C4. Analysis and Power</w:t>
      </w:r>
      <w:r w:rsidR="00FE39FE">
        <w:rPr>
          <w:rFonts w:ascii="Garamond" w:eastAsia="Garamond" w:hAnsi="Garamond" w:cs="Garamond"/>
          <w:b/>
          <w:color w:val="000000"/>
        </w:rPr>
        <w:t xml:space="preserve"> </w:t>
      </w:r>
    </w:p>
    <w:p w14:paraId="0C8357BC" w14:textId="54439A29" w:rsidR="00BA3FBD" w:rsidRDefault="00000000">
      <w:pPr>
        <w:widowControl w:val="0"/>
        <w:pBdr>
          <w:top w:val="nil"/>
          <w:left w:val="nil"/>
          <w:bottom w:val="nil"/>
          <w:right w:val="nil"/>
          <w:between w:val="nil"/>
        </w:pBdr>
        <w:spacing w:line="224" w:lineRule="auto"/>
        <w:ind w:left="130" w:right="4" w:firstLine="725"/>
        <w:jc w:val="both"/>
        <w:rPr>
          <w:rFonts w:ascii="Garamond" w:eastAsia="Garamond" w:hAnsi="Garamond" w:cs="Garamond"/>
          <w:color w:val="000000"/>
        </w:rPr>
      </w:pPr>
      <w:r>
        <w:rPr>
          <w:rFonts w:ascii="Garamond" w:eastAsia="Garamond" w:hAnsi="Garamond" w:cs="Garamond"/>
          <w:color w:val="000000"/>
        </w:rPr>
        <w:t xml:space="preserve">For our analysis, we will estimate differences in outcomes between treatment and control group participants using an intent-to-treat (ITT) framework controlling for baseline covariates. The large sample size (N = 990) is an essential and unique feature of our study. Our sample allows us to draw statistically precise conclusions about modest changes in homelessness, enabling us to substantially contribute to the academic literature and the policy debate surrounding the effect of cash transfers on homelessness. We will be powered to detect a 6.5 percentage point (23%) decrease in the probability of becoming homeless 12 months after exit from RRH, assuming an untreated mean of 28%. Given the nature of the intervention, we expect take-up to be very high. Since about 4% of Abode’s RRH clients receive SSI or SSDI benefits, we conservatively assume that all SSI/SSDI recipients in the treatment group will decline to take up the cash transfers due to the impact on their existing benefits (Figure 1 Box E), resulting in a 96% take-up rate. With the current flow of clients exiting Abode Services’ RRH programs, we expect to reach a sufficient sample size after approximately two years of enrollment, as denoted in Table 1. </w:t>
      </w:r>
    </w:p>
    <w:p w14:paraId="25C98065" w14:textId="29EE66E5" w:rsidR="00BA3FBD" w:rsidRDefault="00000000">
      <w:pPr>
        <w:widowControl w:val="0"/>
        <w:pBdr>
          <w:top w:val="nil"/>
          <w:left w:val="nil"/>
          <w:bottom w:val="nil"/>
          <w:right w:val="nil"/>
          <w:between w:val="nil"/>
        </w:pBdr>
        <w:spacing w:before="4" w:line="224" w:lineRule="auto"/>
        <w:ind w:left="131" w:right="4" w:firstLine="721"/>
        <w:jc w:val="both"/>
        <w:rPr>
          <w:rFonts w:ascii="Garamond" w:eastAsia="Garamond" w:hAnsi="Garamond" w:cs="Garamond"/>
          <w:color w:val="000000"/>
        </w:rPr>
      </w:pPr>
      <w:r>
        <w:rPr>
          <w:rFonts w:ascii="Garamond" w:eastAsia="Garamond" w:hAnsi="Garamond" w:cs="Garamond"/>
          <w:color w:val="000000"/>
        </w:rPr>
        <w:t xml:space="preserve">Better supporting individuals facing housing instability directly relates to intergenerational mobility and equity. We will explore subgroup heterogeneity across groups defined by baseline characteristics, such as gender, family type (adult-only households versus families with dependents), immigration status, and race and ethnicity. </w:t>
      </w:r>
    </w:p>
    <w:p w14:paraId="3E4F65E7" w14:textId="17FD79A6" w:rsidR="00BA3FBD" w:rsidRDefault="00000000">
      <w:pPr>
        <w:widowControl w:val="0"/>
        <w:pBdr>
          <w:top w:val="nil"/>
          <w:left w:val="nil"/>
          <w:bottom w:val="nil"/>
          <w:right w:val="nil"/>
          <w:between w:val="nil"/>
        </w:pBdr>
        <w:spacing w:before="4" w:line="240" w:lineRule="auto"/>
        <w:ind w:left="139"/>
        <w:rPr>
          <w:rFonts w:ascii="Garamond" w:eastAsia="Garamond" w:hAnsi="Garamond" w:cs="Garamond"/>
          <w:b/>
          <w:color w:val="000000"/>
        </w:rPr>
      </w:pPr>
      <w:r>
        <w:rPr>
          <w:rFonts w:ascii="Garamond" w:eastAsia="Garamond" w:hAnsi="Garamond" w:cs="Garamond"/>
          <w:b/>
          <w:color w:val="000000"/>
        </w:rPr>
        <w:t xml:space="preserve">C5. Preliminary Evidence: </w:t>
      </w:r>
    </w:p>
    <w:p w14:paraId="07052623" w14:textId="66E18B6D" w:rsidR="00BA3FBD" w:rsidRDefault="00000000">
      <w:pPr>
        <w:widowControl w:val="0"/>
        <w:pBdr>
          <w:top w:val="nil"/>
          <w:left w:val="nil"/>
          <w:bottom w:val="nil"/>
          <w:right w:val="nil"/>
          <w:between w:val="nil"/>
        </w:pBdr>
        <w:spacing w:line="224" w:lineRule="auto"/>
        <w:ind w:left="130" w:right="70" w:firstLine="722"/>
        <w:rPr>
          <w:rFonts w:ascii="Garamond" w:eastAsia="Garamond" w:hAnsi="Garamond" w:cs="Garamond"/>
          <w:color w:val="000000"/>
        </w:rPr>
      </w:pPr>
      <w:r>
        <w:rPr>
          <w:rFonts w:ascii="Garamond" w:eastAsia="Garamond" w:hAnsi="Garamond" w:cs="Garamond"/>
          <w:color w:val="000000"/>
        </w:rPr>
        <w:t xml:space="preserve">Because this is the first study to examine the effect of targeted cash payments on homelessness, we do not have direct preliminary evidence. The motivation for this intervention, however, was driven by the provider’s experiences working with clients transitioning off of RRH. Through these interactions, </w:t>
      </w:r>
      <w:proofErr w:type="gramStart"/>
      <w:r>
        <w:rPr>
          <w:rFonts w:ascii="Garamond" w:eastAsia="Garamond" w:hAnsi="Garamond" w:cs="Garamond"/>
          <w:color w:val="000000"/>
        </w:rPr>
        <w:t>Abode</w:t>
      </w:r>
      <w:proofErr w:type="gramEnd"/>
      <w:r>
        <w:rPr>
          <w:rFonts w:ascii="Garamond" w:eastAsia="Garamond" w:hAnsi="Garamond" w:cs="Garamond"/>
          <w:color w:val="000000"/>
        </w:rPr>
        <w:t xml:space="preserve"> </w:t>
      </w:r>
      <w:r w:rsidR="00FE39FE">
        <w:rPr>
          <w:rFonts w:ascii="Garamond" w:eastAsia="Garamond" w:hAnsi="Garamond" w:cs="Garamond"/>
          <w:b/>
          <w:noProof/>
          <w:color w:val="000000"/>
        </w:rPr>
        <w:lastRenderedPageBreak/>
        <mc:AlternateContent>
          <mc:Choice Requires="wps">
            <w:drawing>
              <wp:anchor distT="0" distB="0" distL="114300" distR="114300" simplePos="0" relativeHeight="251673600" behindDoc="1" locked="0" layoutInCell="1" allowOverlap="1" wp14:anchorId="06188657" wp14:editId="6A315C96">
                <wp:simplePos x="0" y="0"/>
                <wp:positionH relativeFrom="column">
                  <wp:posOffset>3914694</wp:posOffset>
                </wp:positionH>
                <wp:positionV relativeFrom="paragraph">
                  <wp:posOffset>22040</wp:posOffset>
                </wp:positionV>
                <wp:extent cx="2197100" cy="1024890"/>
                <wp:effectExtent l="0" t="0" r="0" b="3810"/>
                <wp:wrapTight wrapText="bothSides">
                  <wp:wrapPolygon edited="0">
                    <wp:start x="0" y="0"/>
                    <wp:lineTo x="0" y="21413"/>
                    <wp:lineTo x="21475" y="21413"/>
                    <wp:lineTo x="21475" y="0"/>
                    <wp:lineTo x="0" y="0"/>
                  </wp:wrapPolygon>
                </wp:wrapTight>
                <wp:docPr id="917469334" name="Text Box 1"/>
                <wp:cNvGraphicFramePr/>
                <a:graphic xmlns:a="http://schemas.openxmlformats.org/drawingml/2006/main">
                  <a:graphicData uri="http://schemas.microsoft.com/office/word/2010/wordprocessingShape">
                    <wps:wsp>
                      <wps:cNvSpPr txBox="1"/>
                      <wps:spPr>
                        <a:xfrm>
                          <a:off x="0" y="0"/>
                          <a:ext cx="2197100" cy="1024890"/>
                        </a:xfrm>
                        <a:prstGeom prst="rect">
                          <a:avLst/>
                        </a:prstGeom>
                        <a:solidFill>
                          <a:srgbClr val="E35925"/>
                        </a:solidFill>
                        <a:ln w="6350">
                          <a:noFill/>
                        </a:ln>
                      </wps:spPr>
                      <wps:txbx>
                        <w:txbxContent>
                          <w:p w14:paraId="58C9BAB3" w14:textId="77777777" w:rsidR="00FE39FE" w:rsidRPr="00FE39FE" w:rsidRDefault="00FE39FE" w:rsidP="00FE39FE">
                            <w:pPr>
                              <w:rPr>
                                <w:rFonts w:ascii="Garamond" w:hAnsi="Garamond"/>
                                <w:b/>
                                <w:bCs/>
                                <w:color w:val="FFFFFF" w:themeColor="background1"/>
                                <w:sz w:val="16"/>
                                <w:szCs w:val="16"/>
                              </w:rPr>
                            </w:pPr>
                            <w:r w:rsidRPr="00FE39FE">
                              <w:rPr>
                                <w:rFonts w:ascii="Garamond" w:hAnsi="Garamond"/>
                                <w:b/>
                                <w:bCs/>
                                <w:color w:val="FFFFFF" w:themeColor="background1"/>
                                <w:sz w:val="16"/>
                                <w:szCs w:val="16"/>
                              </w:rPr>
                              <w:t>Although direct preliminary evidence is unavailable, the PIs draw on provider experience and client focus groups to justify the intervention design. Strong proposals should show how local context, prior relationships, or exploratory evidence informs the proposed study.</w:t>
                            </w:r>
                          </w:p>
                          <w:p w14:paraId="05C342EB" w14:textId="77777777" w:rsidR="00FE39FE" w:rsidRPr="00FE39FE" w:rsidRDefault="00FE39FE" w:rsidP="00FE39FE">
                            <w:pPr>
                              <w:rPr>
                                <w:rFonts w:ascii="Garamond" w:hAnsi="Garamond"/>
                                <w:b/>
                                <w:bCs/>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88657" id="_x0000_s1033" type="#_x0000_t202" style="position:absolute;left:0;text-align:left;margin-left:308.25pt;margin-top:1.75pt;width:173pt;height:80.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" fillcolor="#e35925" stroked="f" strokeweight=".5pt">
                <v:textbox>
                  <w:txbxContent>
                    <w:p w14:paraId="58C9BAB3" w14:textId="77777777" w:rsidR="00FE39FE" w:rsidRPr="00FE39FE" w:rsidRDefault="00FE39FE" w:rsidP="00FE39FE">
                      <w:pPr>
                        <w:rPr>
                          <w:rFonts w:ascii="Garamond" w:hAnsi="Garamond"/>
                          <w:b/>
                          <w:bCs/>
                          <w:color w:val="FFFFFF" w:themeColor="background1"/>
                          <w:sz w:val="16"/>
                          <w:szCs w:val="16"/>
                        </w:rPr>
                      </w:pPr>
                      <w:r w:rsidRPr="00FE39FE">
                        <w:rPr>
                          <w:rFonts w:ascii="Garamond" w:hAnsi="Garamond"/>
                          <w:b/>
                          <w:bCs/>
                          <w:color w:val="FFFFFF" w:themeColor="background1"/>
                          <w:sz w:val="16"/>
                          <w:szCs w:val="16"/>
                        </w:rPr>
                        <w:t>Although direct preliminary evidence is unavailable, the PIs draw on provider experience and client focus groups to justify the intervention design. Strong proposals should show how local context, prior relationships, or exploratory evidence informs the proposed study.</w:t>
                      </w:r>
                    </w:p>
                    <w:p w14:paraId="05C342EB" w14:textId="77777777" w:rsidR="00FE39FE" w:rsidRPr="00FE39FE" w:rsidRDefault="00FE39FE" w:rsidP="00FE39FE">
                      <w:pPr>
                        <w:rPr>
                          <w:rFonts w:ascii="Garamond" w:hAnsi="Garamond"/>
                          <w:b/>
                          <w:bCs/>
                          <w:color w:val="FFFFFF" w:themeColor="background1"/>
                          <w:sz w:val="16"/>
                          <w:szCs w:val="16"/>
                        </w:rPr>
                      </w:pPr>
                    </w:p>
                  </w:txbxContent>
                </v:textbox>
                <w10:wrap type="tight"/>
              </v:shape>
            </w:pict>
          </mc:Fallback>
        </mc:AlternateContent>
      </w:r>
      <w:r>
        <w:rPr>
          <w:rFonts w:ascii="Garamond" w:eastAsia="Garamond" w:hAnsi="Garamond" w:cs="Garamond"/>
          <w:color w:val="000000"/>
        </w:rPr>
        <w:t xml:space="preserve">determined that many of these clients are at risk of homelessness because of a shortfall in resources. In addition, Abode Services conducted focus groups with former clients to gain insight into the impact cash transfers would have had for them. Many clients said the additional cash, especially more cash in the first few months, would have allowed them to pay for </w:t>
      </w:r>
      <w:proofErr w:type="gramStart"/>
      <w:r>
        <w:rPr>
          <w:rFonts w:ascii="Garamond" w:eastAsia="Garamond" w:hAnsi="Garamond" w:cs="Garamond"/>
          <w:color w:val="000000"/>
        </w:rPr>
        <w:t>high cost</w:t>
      </w:r>
      <w:proofErr w:type="gramEnd"/>
      <w:r>
        <w:rPr>
          <w:rFonts w:ascii="Garamond" w:eastAsia="Garamond" w:hAnsi="Garamond" w:cs="Garamond"/>
          <w:color w:val="000000"/>
        </w:rPr>
        <w:t xml:space="preserve"> items. This feedback helped to shape the design of the intervention. </w:t>
      </w:r>
    </w:p>
    <w:p w14:paraId="6B94D0AC" w14:textId="3DC7D611" w:rsidR="00BA3FBD" w:rsidRDefault="00000000">
      <w:pPr>
        <w:widowControl w:val="0"/>
        <w:pBdr>
          <w:top w:val="nil"/>
          <w:left w:val="nil"/>
          <w:bottom w:val="nil"/>
          <w:right w:val="nil"/>
          <w:between w:val="nil"/>
        </w:pBdr>
        <w:spacing w:before="280" w:line="240" w:lineRule="auto"/>
        <w:ind w:left="135"/>
        <w:rPr>
          <w:rFonts w:ascii="Garamond" w:eastAsia="Garamond" w:hAnsi="Garamond" w:cs="Garamond"/>
          <w:b/>
          <w:color w:val="000000"/>
        </w:rPr>
      </w:pPr>
      <w:r>
        <w:rPr>
          <w:rFonts w:ascii="Garamond" w:eastAsia="Garamond" w:hAnsi="Garamond" w:cs="Garamond"/>
          <w:b/>
          <w:color w:val="000000"/>
        </w:rPr>
        <w:t xml:space="preserve">D. Viability of Project </w:t>
      </w:r>
    </w:p>
    <w:p w14:paraId="47164D05" w14:textId="2B7ADE07" w:rsidR="00BA3FBD" w:rsidRDefault="00FE39FE">
      <w:pPr>
        <w:widowControl w:val="0"/>
        <w:pBdr>
          <w:top w:val="nil"/>
          <w:left w:val="nil"/>
          <w:bottom w:val="nil"/>
          <w:right w:val="nil"/>
          <w:between w:val="nil"/>
        </w:pBdr>
        <w:spacing w:line="224" w:lineRule="auto"/>
        <w:ind w:left="132" w:right="23" w:firstLine="587"/>
        <w:rPr>
          <w:rFonts w:ascii="Garamond" w:eastAsia="Garamond" w:hAnsi="Garamond" w:cs="Garamond"/>
          <w:color w:val="000000"/>
        </w:rPr>
      </w:pPr>
      <w:r>
        <w:rPr>
          <w:rFonts w:ascii="Garamond" w:eastAsia="Garamond" w:hAnsi="Garamond" w:cs="Garamond"/>
          <w:b/>
          <w:noProof/>
          <w:color w:val="000000"/>
        </w:rPr>
        <mc:AlternateContent>
          <mc:Choice Requires="wps">
            <w:drawing>
              <wp:anchor distT="0" distB="0" distL="114300" distR="114300" simplePos="0" relativeHeight="251675648" behindDoc="1" locked="0" layoutInCell="1" allowOverlap="1" wp14:anchorId="6CF91F46" wp14:editId="66306F4A">
                <wp:simplePos x="0" y="0"/>
                <wp:positionH relativeFrom="column">
                  <wp:posOffset>-450215</wp:posOffset>
                </wp:positionH>
                <wp:positionV relativeFrom="paragraph">
                  <wp:posOffset>97790</wp:posOffset>
                </wp:positionV>
                <wp:extent cx="1791335" cy="1917065"/>
                <wp:effectExtent l="0" t="0" r="0" b="635"/>
                <wp:wrapTight wrapText="bothSides">
                  <wp:wrapPolygon edited="0">
                    <wp:start x="0" y="0"/>
                    <wp:lineTo x="0" y="21464"/>
                    <wp:lineTo x="21439" y="21464"/>
                    <wp:lineTo x="21439" y="0"/>
                    <wp:lineTo x="0" y="0"/>
                  </wp:wrapPolygon>
                </wp:wrapTight>
                <wp:docPr id="27141508" name="Text Box 1"/>
                <wp:cNvGraphicFramePr/>
                <a:graphic xmlns:a="http://schemas.openxmlformats.org/drawingml/2006/main">
                  <a:graphicData uri="http://schemas.microsoft.com/office/word/2010/wordprocessingShape">
                    <wps:wsp>
                      <wps:cNvSpPr txBox="1"/>
                      <wps:spPr>
                        <a:xfrm>
                          <a:off x="0" y="0"/>
                          <a:ext cx="1791335" cy="1917065"/>
                        </a:xfrm>
                        <a:prstGeom prst="rect">
                          <a:avLst/>
                        </a:prstGeom>
                        <a:solidFill>
                          <a:srgbClr val="E35925"/>
                        </a:solidFill>
                        <a:ln w="6350">
                          <a:noFill/>
                        </a:ln>
                      </wps:spPr>
                      <wps:txbx>
                        <w:txbxContent>
                          <w:p w14:paraId="3EB49CD2" w14:textId="77777777" w:rsidR="00FE39FE" w:rsidRPr="00FE39FE" w:rsidRDefault="00FE39FE" w:rsidP="00FE39FE">
                            <w:pPr>
                              <w:rPr>
                                <w:rFonts w:ascii="Garamond" w:hAnsi="Garamond"/>
                                <w:b/>
                                <w:bCs/>
                                <w:color w:val="FFFFFF" w:themeColor="background1"/>
                                <w:sz w:val="16"/>
                                <w:szCs w:val="16"/>
                              </w:rPr>
                            </w:pPr>
                            <w:r w:rsidRPr="00FE39FE">
                              <w:rPr>
                                <w:rFonts w:ascii="Garamond" w:hAnsi="Garamond"/>
                                <w:b/>
                                <w:bCs/>
                                <w:color w:val="FFFFFF" w:themeColor="background1"/>
                                <w:sz w:val="16"/>
                                <w:szCs w:val="16"/>
                              </w:rPr>
                              <w:t>This section demonstrates that the project has a highly capable and committed implementing partner. Abode Services’ large client base ensures sufficient flow for enrollment, while their prior experience implementing an RCT strengthens confidence in their ability to carry out the study. Strong proposals should provide evidence that the implementing partner has both the capacity and the motivation to sustain engagement throughout the study.</w:t>
                            </w:r>
                          </w:p>
                          <w:p w14:paraId="6D4D3BD6" w14:textId="77777777" w:rsidR="00FE39FE" w:rsidRPr="00FE39FE" w:rsidRDefault="00FE39FE" w:rsidP="00FE39FE">
                            <w:pPr>
                              <w:rPr>
                                <w:rFonts w:ascii="Garamond" w:hAnsi="Garamond"/>
                                <w:b/>
                                <w:bCs/>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91F46" id="_x0000_s1034" type="#_x0000_t202" style="position:absolute;left:0;text-align:left;margin-left:-35.45pt;margin-top:7.7pt;width:141.05pt;height:150.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" fillcolor="#e35925" stroked="f" strokeweight=".5pt">
                <v:textbox>
                  <w:txbxContent>
                    <w:p w14:paraId="3EB49CD2" w14:textId="77777777" w:rsidR="00FE39FE" w:rsidRPr="00FE39FE" w:rsidRDefault="00FE39FE" w:rsidP="00FE39FE">
                      <w:pPr>
                        <w:rPr>
                          <w:rFonts w:ascii="Garamond" w:hAnsi="Garamond"/>
                          <w:b/>
                          <w:bCs/>
                          <w:color w:val="FFFFFF" w:themeColor="background1"/>
                          <w:sz w:val="16"/>
                          <w:szCs w:val="16"/>
                        </w:rPr>
                      </w:pPr>
                      <w:r w:rsidRPr="00FE39FE">
                        <w:rPr>
                          <w:rFonts w:ascii="Garamond" w:hAnsi="Garamond"/>
                          <w:b/>
                          <w:bCs/>
                          <w:color w:val="FFFFFF" w:themeColor="background1"/>
                          <w:sz w:val="16"/>
                          <w:szCs w:val="16"/>
                        </w:rPr>
                        <w:t>This section demonstrates that the project has a highly capable and committed implementing partner. Abode Services’ large client base ensures sufficient flow for enrollment, while their prior experience implementing an RCT strengthens confidence in their ability to carry out the study. Strong proposals should provide evidence that the implementing partner has both the capacity and the motivation to sustain engagement throughout the study.</w:t>
                      </w:r>
                    </w:p>
                    <w:p w14:paraId="6D4D3BD6" w14:textId="77777777" w:rsidR="00FE39FE" w:rsidRPr="00FE39FE" w:rsidRDefault="00FE39FE" w:rsidP="00FE39FE">
                      <w:pPr>
                        <w:rPr>
                          <w:rFonts w:ascii="Garamond" w:hAnsi="Garamond"/>
                          <w:b/>
                          <w:bCs/>
                          <w:color w:val="FFFFFF" w:themeColor="background1"/>
                          <w:sz w:val="16"/>
                          <w:szCs w:val="16"/>
                        </w:rPr>
                      </w:pPr>
                    </w:p>
                  </w:txbxContent>
                </v:textbox>
                <w10:wrap type="tight"/>
              </v:shape>
            </w:pict>
          </mc:Fallback>
        </mc:AlternateContent>
      </w:r>
      <w:r>
        <w:rPr>
          <w:rFonts w:ascii="Garamond" w:eastAsia="Garamond" w:hAnsi="Garamond" w:cs="Garamond"/>
          <w:color w:val="000000"/>
        </w:rPr>
        <w:t xml:space="preserve">A strong provider partner is an essential feature of a large-scale RCT. Abode Services is an ideal partner for this project for several reasons. First, Abode is a large, well-established provider of housing services. As a result, they have expertise in working with a vulnerable population, and their large portfolio of RRH clients ensures that the study will have a sufficient flow of participants. Second, Abode is committed to the research project because they fundamentally believe that rigorous evidence of impact will help them better serve their clients and sustain an effective intervention. Finally, Abode has experience implementing housing services in the context of an RCT. They implemented a pay-for-success RCT that examined the impact of permanent supportive housing in 2015 (Raven, </w:t>
      </w:r>
      <w:r>
        <w:rPr>
          <w:rFonts w:ascii="Garamond" w:eastAsia="Garamond" w:hAnsi="Garamond" w:cs="Garamond"/>
          <w:color w:val="1C1D1E"/>
          <w:highlight w:val="white"/>
        </w:rPr>
        <w:t>Niedzwiecki, &amp; Kushel, 2020</w:t>
      </w:r>
      <w:r>
        <w:rPr>
          <w:rFonts w:ascii="Garamond" w:eastAsia="Garamond" w:hAnsi="Garamond" w:cs="Garamond"/>
          <w:color w:val="000000"/>
          <w:highlight w:val="white"/>
        </w:rPr>
        <w:t>)</w:t>
      </w:r>
      <w:r>
        <w:rPr>
          <w:rFonts w:ascii="Garamond" w:eastAsia="Garamond" w:hAnsi="Garamond" w:cs="Garamond"/>
          <w:color w:val="000000"/>
        </w:rPr>
        <w:t xml:space="preserve">. Consequently, they are very familiar with the many challenges associated with RCTs, including recruiting study participants, obtaining consent, informing participants about the lottery outcome, managing the data requirements for the study, etc. </w:t>
      </w:r>
    </w:p>
    <w:p w14:paraId="3D95A04B" w14:textId="7981FE6E" w:rsidR="00BA3FBD" w:rsidRDefault="00FE39FE">
      <w:pPr>
        <w:widowControl w:val="0"/>
        <w:pBdr>
          <w:top w:val="nil"/>
          <w:left w:val="nil"/>
          <w:bottom w:val="nil"/>
          <w:right w:val="nil"/>
          <w:between w:val="nil"/>
        </w:pBdr>
        <w:spacing w:before="4" w:line="224" w:lineRule="auto"/>
        <w:ind w:left="127" w:right="192" w:firstLine="592"/>
        <w:rPr>
          <w:rFonts w:ascii="Garamond" w:eastAsia="Garamond" w:hAnsi="Garamond" w:cs="Garamond"/>
          <w:color w:val="000000"/>
        </w:rPr>
      </w:pPr>
      <w:r>
        <w:rPr>
          <w:rFonts w:ascii="Garamond" w:eastAsia="Garamond" w:hAnsi="Garamond" w:cs="Garamond"/>
          <w:b/>
          <w:noProof/>
          <w:color w:val="000000"/>
        </w:rPr>
        <mc:AlternateContent>
          <mc:Choice Requires="wps">
            <w:drawing>
              <wp:anchor distT="0" distB="0" distL="114300" distR="114300" simplePos="0" relativeHeight="251677696" behindDoc="1" locked="0" layoutInCell="1" allowOverlap="1" wp14:anchorId="541B3322" wp14:editId="3BFE870D">
                <wp:simplePos x="0" y="0"/>
                <wp:positionH relativeFrom="column">
                  <wp:posOffset>4601210</wp:posOffset>
                </wp:positionH>
                <wp:positionV relativeFrom="paragraph">
                  <wp:posOffset>101600</wp:posOffset>
                </wp:positionV>
                <wp:extent cx="1762125" cy="1548130"/>
                <wp:effectExtent l="0" t="0" r="3175" b="1270"/>
                <wp:wrapTight wrapText="bothSides">
                  <wp:wrapPolygon edited="0">
                    <wp:start x="0" y="0"/>
                    <wp:lineTo x="0" y="21441"/>
                    <wp:lineTo x="21483" y="21441"/>
                    <wp:lineTo x="21483" y="0"/>
                    <wp:lineTo x="0" y="0"/>
                  </wp:wrapPolygon>
                </wp:wrapTight>
                <wp:docPr id="243326770" name="Text Box 1"/>
                <wp:cNvGraphicFramePr/>
                <a:graphic xmlns:a="http://schemas.openxmlformats.org/drawingml/2006/main">
                  <a:graphicData uri="http://schemas.microsoft.com/office/word/2010/wordprocessingShape">
                    <wps:wsp>
                      <wps:cNvSpPr txBox="1"/>
                      <wps:spPr>
                        <a:xfrm>
                          <a:off x="0" y="0"/>
                          <a:ext cx="1762125" cy="1548130"/>
                        </a:xfrm>
                        <a:prstGeom prst="rect">
                          <a:avLst/>
                        </a:prstGeom>
                        <a:solidFill>
                          <a:srgbClr val="E35925"/>
                        </a:solidFill>
                        <a:ln w="6350">
                          <a:noFill/>
                        </a:ln>
                      </wps:spPr>
                      <wps:txbx>
                        <w:txbxContent>
                          <w:p w14:paraId="7BB8626C" w14:textId="4F2B22AA" w:rsidR="00FE39FE" w:rsidRPr="00FE39FE" w:rsidRDefault="00FE39FE" w:rsidP="00FE39FE">
                            <w:pPr>
                              <w:rPr>
                                <w:rFonts w:ascii="Garamond" w:hAnsi="Garamond"/>
                                <w:b/>
                                <w:bCs/>
                                <w:color w:val="FFFFFF" w:themeColor="background1"/>
                                <w:sz w:val="16"/>
                                <w:szCs w:val="16"/>
                              </w:rPr>
                            </w:pPr>
                            <w:r w:rsidRPr="00FE39FE">
                              <w:rPr>
                                <w:rFonts w:ascii="Garamond" w:hAnsi="Garamond"/>
                                <w:b/>
                                <w:bCs/>
                                <w:color w:val="FFFFFF" w:themeColor="background1"/>
                                <w:sz w:val="16"/>
                                <w:szCs w:val="16"/>
                              </w:rPr>
                              <w:t>The PIs acknowledge potential risks in accessing certain data sources while documenting established relationships and existing contracts for core outcomes. This balance of candor and contingency planning strengthens confidence in the project’s feasibility. Strong proposals should be transparent about risks and provide reasonable mitigation strategies.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B3322" id="_x0000_s1035" type="#_x0000_t202" style="position:absolute;left:0;text-align:left;margin-left:362.3pt;margin-top:8pt;width:138.75pt;height:121.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" fillcolor="#e35925" stroked="f" strokeweight=".5pt">
                <v:textbox>
                  <w:txbxContent>
                    <w:p w14:paraId="7BB8626C" w14:textId="4F2B22AA" w:rsidR="00FE39FE" w:rsidRPr="00FE39FE" w:rsidRDefault="00FE39FE" w:rsidP="00FE39FE">
                      <w:pPr>
                        <w:rPr>
                          <w:rFonts w:ascii="Garamond" w:hAnsi="Garamond"/>
                          <w:b/>
                          <w:bCs/>
                          <w:color w:val="FFFFFF" w:themeColor="background1"/>
                          <w:sz w:val="16"/>
                          <w:szCs w:val="16"/>
                        </w:rPr>
                      </w:pPr>
                      <w:r w:rsidRPr="00FE39FE">
                        <w:rPr>
                          <w:rFonts w:ascii="Garamond" w:hAnsi="Garamond"/>
                          <w:b/>
                          <w:bCs/>
                          <w:color w:val="FFFFFF" w:themeColor="background1"/>
                          <w:sz w:val="16"/>
                          <w:szCs w:val="16"/>
                        </w:rPr>
                        <w:t>The PIs acknowledge potential risks in accessing certain data sources while documenting established relationships and existing contracts for core outcomes. This balance of candor and contingency planning strengthens confidence in the project’s feasibility. Strong proposals should be transparent about risks and provide reasonable mitigation strategies.</w:t>
                      </w:r>
                    </w:p>
                  </w:txbxContent>
                </v:textbox>
                <w10:wrap type="tight"/>
              </v:shape>
            </w:pict>
          </mc:Fallback>
        </mc:AlternateContent>
      </w:r>
      <w:r>
        <w:rPr>
          <w:rFonts w:ascii="Garamond" w:eastAsia="Garamond" w:hAnsi="Garamond" w:cs="Garamond"/>
          <w:color w:val="000000"/>
        </w:rPr>
        <w:t xml:space="preserve">In terms of risks to viability, one important challenge will be accessing data for a few of our outcomes. Because of existing relationships between Abode and HMIS providers, we are confident that we will be able to access HMIS data for all study participants. Abode already uses HMIS data for the counties where most of their clients reside; however, they are still securing access for other counties where a smaller number of clients live. The research team has existing contracts with </w:t>
      </w:r>
      <w:proofErr w:type="spellStart"/>
      <w:r>
        <w:rPr>
          <w:rFonts w:ascii="Garamond" w:eastAsia="Garamond" w:hAnsi="Garamond" w:cs="Garamond"/>
          <w:color w:val="000000"/>
        </w:rPr>
        <w:t>Infutor</w:t>
      </w:r>
      <w:proofErr w:type="spellEnd"/>
      <w:r>
        <w:rPr>
          <w:rFonts w:ascii="Garamond" w:eastAsia="Garamond" w:hAnsi="Garamond" w:cs="Garamond"/>
          <w:color w:val="000000"/>
        </w:rPr>
        <w:t xml:space="preserve"> and Experian, which include address and credit records. We will also link to health care utilization data through Medi-Cal records at Stanford University. However, we do not yet have a clear path for obtaining criminal justice, child education, and employment and earnings records. Even if we cannot access these data, evidence of the impact of the intervention on outcomes we know we can obtain is substantive and highly policy-relevant. </w:t>
      </w:r>
    </w:p>
    <w:p w14:paraId="36F202E2" w14:textId="48B7DCCD" w:rsidR="00BA3FBD" w:rsidRDefault="00000000" w:rsidP="00FE39FE">
      <w:pPr>
        <w:widowControl w:val="0"/>
        <w:pBdr>
          <w:top w:val="nil"/>
          <w:left w:val="nil"/>
          <w:bottom w:val="nil"/>
          <w:right w:val="nil"/>
          <w:between w:val="nil"/>
        </w:pBdr>
        <w:spacing w:before="4" w:line="224" w:lineRule="auto"/>
        <w:ind w:left="138" w:right="19" w:firstLine="709"/>
        <w:rPr>
          <w:rFonts w:ascii="Garamond" w:eastAsia="Garamond" w:hAnsi="Garamond" w:cs="Garamond"/>
          <w:color w:val="222222"/>
        </w:rPr>
      </w:pPr>
      <w:r>
        <w:rPr>
          <w:rFonts w:ascii="Garamond" w:eastAsia="Garamond" w:hAnsi="Garamond" w:cs="Garamond"/>
          <w:color w:val="222222"/>
        </w:rPr>
        <w:t>W</w:t>
      </w:r>
      <w:r>
        <w:rPr>
          <w:rFonts w:ascii="Garamond" w:eastAsia="Garamond" w:hAnsi="Garamond" w:cs="Garamond"/>
          <w:color w:val="222222"/>
          <w:highlight w:val="white"/>
        </w:rPr>
        <w:t>e expect the COVID impacts on this project to be minimal. The intervention requires limited direct</w:t>
      </w:r>
      <w:r>
        <w:rPr>
          <w:rFonts w:ascii="Garamond" w:eastAsia="Garamond" w:hAnsi="Garamond" w:cs="Garamond"/>
          <w:color w:val="222222"/>
        </w:rPr>
        <w:t xml:space="preserve"> </w:t>
      </w:r>
      <w:r>
        <w:rPr>
          <w:rFonts w:ascii="Garamond" w:eastAsia="Garamond" w:hAnsi="Garamond" w:cs="Garamond"/>
          <w:color w:val="222222"/>
          <w:highlight w:val="white"/>
        </w:rPr>
        <w:t>contact with clients, and because RRH is an essential service, Adobe Services has experience providing RRH</w:t>
      </w:r>
      <w:r>
        <w:rPr>
          <w:rFonts w:ascii="Garamond" w:eastAsia="Garamond" w:hAnsi="Garamond" w:cs="Garamond"/>
          <w:color w:val="222222"/>
        </w:rPr>
        <w:t xml:space="preserve"> </w:t>
      </w:r>
      <w:r>
        <w:rPr>
          <w:rFonts w:ascii="Garamond" w:eastAsia="Garamond" w:hAnsi="Garamond" w:cs="Garamond"/>
          <w:color w:val="222222"/>
          <w:highlight w:val="white"/>
        </w:rPr>
        <w:t>services during the pandemic. In terms of travel, we have set aside a very small fraction of the budget for this.</w:t>
      </w:r>
      <w:r>
        <w:rPr>
          <w:rFonts w:ascii="Garamond" w:eastAsia="Garamond" w:hAnsi="Garamond" w:cs="Garamond"/>
          <w:color w:val="222222"/>
        </w:rPr>
        <w:t xml:space="preserve"> W</w:t>
      </w:r>
      <w:r>
        <w:rPr>
          <w:rFonts w:ascii="Garamond" w:eastAsia="Garamond" w:hAnsi="Garamond" w:cs="Garamond"/>
          <w:color w:val="222222"/>
          <w:highlight w:val="white"/>
        </w:rPr>
        <w:t>e are willing to be flexible with our travel dates if there are heightened risks because of COVID.</w:t>
      </w:r>
      <w:r>
        <w:rPr>
          <w:rFonts w:ascii="Garamond" w:eastAsia="Garamond" w:hAnsi="Garamond" w:cs="Garamond"/>
          <w:color w:val="222222"/>
        </w:rPr>
        <w:t xml:space="preserve"> </w:t>
      </w:r>
    </w:p>
    <w:p w14:paraId="7D655DC8" w14:textId="72F44D28" w:rsidR="00BA3FBD" w:rsidRDefault="00000000">
      <w:pPr>
        <w:widowControl w:val="0"/>
        <w:pBdr>
          <w:top w:val="nil"/>
          <w:left w:val="nil"/>
          <w:bottom w:val="nil"/>
          <w:right w:val="nil"/>
          <w:between w:val="nil"/>
        </w:pBdr>
        <w:spacing w:before="280" w:line="240" w:lineRule="auto"/>
        <w:ind w:left="133"/>
        <w:rPr>
          <w:rFonts w:ascii="Garamond" w:eastAsia="Garamond" w:hAnsi="Garamond" w:cs="Garamond"/>
          <w:b/>
          <w:color w:val="000000"/>
        </w:rPr>
      </w:pPr>
      <w:r>
        <w:rPr>
          <w:rFonts w:ascii="Garamond" w:eastAsia="Garamond" w:hAnsi="Garamond" w:cs="Garamond"/>
          <w:b/>
          <w:color w:val="000000"/>
        </w:rPr>
        <w:t xml:space="preserve">E. Research Transparency </w:t>
      </w:r>
    </w:p>
    <w:p w14:paraId="34CBBF03" w14:textId="1ED0657D" w:rsidR="00BA3FBD" w:rsidRDefault="00000000">
      <w:pPr>
        <w:widowControl w:val="0"/>
        <w:pBdr>
          <w:top w:val="nil"/>
          <w:left w:val="nil"/>
          <w:bottom w:val="nil"/>
          <w:right w:val="nil"/>
          <w:between w:val="nil"/>
        </w:pBdr>
        <w:spacing w:line="224" w:lineRule="auto"/>
        <w:ind w:left="135" w:right="156" w:firstLine="712"/>
        <w:rPr>
          <w:rFonts w:ascii="Garamond" w:eastAsia="Garamond" w:hAnsi="Garamond" w:cs="Garamond"/>
          <w:color w:val="000000"/>
        </w:rPr>
      </w:pPr>
      <w:r>
        <w:rPr>
          <w:rFonts w:ascii="Garamond" w:eastAsia="Garamond" w:hAnsi="Garamond" w:cs="Garamond"/>
          <w:color w:val="000000"/>
        </w:rPr>
        <w:t xml:space="preserve">We will register this project in the AEA RCT registry along with our pre-analysis plan. At the end of the </w:t>
      </w:r>
      <w:proofErr w:type="gramStart"/>
      <w:r>
        <w:rPr>
          <w:rFonts w:ascii="Garamond" w:eastAsia="Garamond" w:hAnsi="Garamond" w:cs="Garamond"/>
          <w:color w:val="000000"/>
        </w:rPr>
        <w:t>study</w:t>
      </w:r>
      <w:proofErr w:type="gramEnd"/>
      <w:r>
        <w:rPr>
          <w:rFonts w:ascii="Garamond" w:eastAsia="Garamond" w:hAnsi="Garamond" w:cs="Garamond"/>
          <w:color w:val="000000"/>
        </w:rPr>
        <w:t xml:space="preserve"> we will make our deidentified data and replication code public subject to approval from the administrative data sources. </w:t>
      </w:r>
    </w:p>
    <w:p w14:paraId="5F9A466F" w14:textId="5F948160" w:rsidR="00FE39FE" w:rsidRDefault="00FE39FE">
      <w:pPr>
        <w:rPr>
          <w:color w:val="000000"/>
        </w:rPr>
      </w:pPr>
      <w:r>
        <w:rPr>
          <w:color w:val="000000"/>
        </w:rPr>
        <w:br w:type="page"/>
      </w:r>
    </w:p>
    <w:p w14:paraId="076BAB96" w14:textId="3BD23A43" w:rsidR="00BA3FBD" w:rsidRDefault="00FE39FE">
      <w:pPr>
        <w:widowControl w:val="0"/>
        <w:pBdr>
          <w:top w:val="nil"/>
          <w:left w:val="nil"/>
          <w:bottom w:val="nil"/>
          <w:right w:val="nil"/>
          <w:between w:val="nil"/>
        </w:pBdr>
        <w:spacing w:before="556" w:line="240" w:lineRule="auto"/>
        <w:ind w:left="136"/>
        <w:rPr>
          <w:rFonts w:ascii="Garamond" w:eastAsia="Garamond" w:hAnsi="Garamond" w:cs="Garamond"/>
          <w:b/>
          <w:color w:val="000000"/>
        </w:rPr>
      </w:pPr>
      <w:r>
        <w:rPr>
          <w:rFonts w:ascii="Garamond" w:eastAsia="Garamond" w:hAnsi="Garamond" w:cs="Garamond"/>
          <w:b/>
          <w:noProof/>
          <w:color w:val="000000"/>
        </w:rPr>
        <w:lastRenderedPageBreak/>
        <mc:AlternateContent>
          <mc:Choice Requires="wps">
            <w:drawing>
              <wp:anchor distT="0" distB="0" distL="114300" distR="114300" simplePos="0" relativeHeight="251679744" behindDoc="1" locked="0" layoutInCell="1" allowOverlap="1" wp14:anchorId="5055BE7A" wp14:editId="7E3C458D">
                <wp:simplePos x="0" y="0"/>
                <wp:positionH relativeFrom="column">
                  <wp:posOffset>4629785</wp:posOffset>
                </wp:positionH>
                <wp:positionV relativeFrom="paragraph">
                  <wp:posOffset>58994</wp:posOffset>
                </wp:positionV>
                <wp:extent cx="1268095" cy="892175"/>
                <wp:effectExtent l="0" t="0" r="1905" b="0"/>
                <wp:wrapTight wrapText="bothSides">
                  <wp:wrapPolygon edited="0">
                    <wp:start x="0" y="0"/>
                    <wp:lineTo x="0" y="21216"/>
                    <wp:lineTo x="21416" y="21216"/>
                    <wp:lineTo x="21416" y="0"/>
                    <wp:lineTo x="0" y="0"/>
                  </wp:wrapPolygon>
                </wp:wrapTight>
                <wp:docPr id="125215686" name="Text Box 1"/>
                <wp:cNvGraphicFramePr/>
                <a:graphic xmlns:a="http://schemas.openxmlformats.org/drawingml/2006/main">
                  <a:graphicData uri="http://schemas.microsoft.com/office/word/2010/wordprocessingShape">
                    <wps:wsp>
                      <wps:cNvSpPr txBox="1"/>
                      <wps:spPr>
                        <a:xfrm>
                          <a:off x="0" y="0"/>
                          <a:ext cx="1268095" cy="892175"/>
                        </a:xfrm>
                        <a:prstGeom prst="rect">
                          <a:avLst/>
                        </a:prstGeom>
                        <a:solidFill>
                          <a:srgbClr val="E35925"/>
                        </a:solidFill>
                        <a:ln w="6350">
                          <a:noFill/>
                        </a:ln>
                      </wps:spPr>
                      <wps:txbx>
                        <w:txbxContent>
                          <w:p w14:paraId="54BCCDE8" w14:textId="043C7586" w:rsidR="00FE39FE" w:rsidRPr="00FE39FE" w:rsidRDefault="00FE39FE" w:rsidP="00FE39FE">
                            <w:pPr>
                              <w:rPr>
                                <w:rFonts w:ascii="Garamond" w:hAnsi="Garamond"/>
                                <w:b/>
                                <w:bCs/>
                                <w:color w:val="FFFFFF" w:themeColor="background1"/>
                                <w:sz w:val="16"/>
                                <w:szCs w:val="16"/>
                              </w:rPr>
                            </w:pPr>
                            <w:r w:rsidRPr="00FE39FE">
                              <w:rPr>
                                <w:rFonts w:ascii="Garamond" w:hAnsi="Garamond"/>
                                <w:b/>
                                <w:bCs/>
                                <w:color w:val="FFFFFF" w:themeColor="background1"/>
                                <w:sz w:val="16"/>
                                <w:szCs w:val="16"/>
                              </w:rPr>
                              <w:t>Proposals should include references</w:t>
                            </w:r>
                            <w:r w:rsidR="00076539">
                              <w:rPr>
                                <w:rFonts w:ascii="Garamond" w:hAnsi="Garamond"/>
                                <w:b/>
                                <w:bCs/>
                                <w:color w:val="FFFFFF" w:themeColor="background1"/>
                                <w:sz w:val="16"/>
                                <w:szCs w:val="16"/>
                              </w:rPr>
                              <w:t xml:space="preserve">. </w:t>
                            </w:r>
                            <w:r w:rsidRPr="00FE39FE">
                              <w:rPr>
                                <w:rFonts w:ascii="Garamond" w:hAnsi="Garamond"/>
                                <w:b/>
                                <w:bCs/>
                                <w:color w:val="FFFFFF" w:themeColor="background1"/>
                                <w:sz w:val="16"/>
                                <w:szCs w:val="16"/>
                              </w:rPr>
                              <w:t>Chicago Author-Date style is suggested. References are not included in the page count.</w:t>
                            </w:r>
                          </w:p>
                          <w:p w14:paraId="42A2CDEA" w14:textId="1F387A69" w:rsidR="00FE39FE" w:rsidRPr="00FE39FE" w:rsidRDefault="00FE39FE" w:rsidP="00FE39FE">
                            <w:pPr>
                              <w:rPr>
                                <w:rFonts w:ascii="Garamond" w:hAnsi="Garamond"/>
                                <w:b/>
                                <w:bCs/>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5BE7A" id="_x0000_s1036" type="#_x0000_t202" style="position:absolute;left:0;text-align:left;margin-left:364.55pt;margin-top:4.65pt;width:99.85pt;height:70.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" fillcolor="#e35925" stroked="f" strokeweight=".5pt">
                <v:textbox>
                  <w:txbxContent>
                    <w:p w14:paraId="54BCCDE8" w14:textId="043C7586" w:rsidR="00FE39FE" w:rsidRPr="00FE39FE" w:rsidRDefault="00FE39FE" w:rsidP="00FE39FE">
                      <w:pPr>
                        <w:rPr>
                          <w:rFonts w:ascii="Garamond" w:hAnsi="Garamond"/>
                          <w:b/>
                          <w:bCs/>
                          <w:color w:val="FFFFFF" w:themeColor="background1"/>
                          <w:sz w:val="16"/>
                          <w:szCs w:val="16"/>
                        </w:rPr>
                      </w:pPr>
                      <w:r w:rsidRPr="00FE39FE">
                        <w:rPr>
                          <w:rFonts w:ascii="Garamond" w:hAnsi="Garamond"/>
                          <w:b/>
                          <w:bCs/>
                          <w:color w:val="FFFFFF" w:themeColor="background1"/>
                          <w:sz w:val="16"/>
                          <w:szCs w:val="16"/>
                        </w:rPr>
                        <w:t>Proposals should include references</w:t>
                      </w:r>
                      <w:r w:rsidR="00076539">
                        <w:rPr>
                          <w:rFonts w:ascii="Garamond" w:hAnsi="Garamond"/>
                          <w:b/>
                          <w:bCs/>
                          <w:color w:val="FFFFFF" w:themeColor="background1"/>
                          <w:sz w:val="16"/>
                          <w:szCs w:val="16"/>
                        </w:rPr>
                        <w:t xml:space="preserve">. </w:t>
                      </w:r>
                      <w:r w:rsidRPr="00FE39FE">
                        <w:rPr>
                          <w:rFonts w:ascii="Garamond" w:hAnsi="Garamond"/>
                          <w:b/>
                          <w:bCs/>
                          <w:color w:val="FFFFFF" w:themeColor="background1"/>
                          <w:sz w:val="16"/>
                          <w:szCs w:val="16"/>
                        </w:rPr>
                        <w:t>Chicago Author-Date style is suggested. References are not included in the page count.</w:t>
                      </w:r>
                    </w:p>
                    <w:p w14:paraId="42A2CDEA" w14:textId="1F387A69" w:rsidR="00FE39FE" w:rsidRPr="00FE39FE" w:rsidRDefault="00FE39FE" w:rsidP="00FE39FE">
                      <w:pPr>
                        <w:rPr>
                          <w:rFonts w:ascii="Garamond" w:hAnsi="Garamond"/>
                          <w:b/>
                          <w:bCs/>
                          <w:color w:val="FFFFFF" w:themeColor="background1"/>
                          <w:sz w:val="16"/>
                          <w:szCs w:val="16"/>
                        </w:rPr>
                      </w:pPr>
                    </w:p>
                  </w:txbxContent>
                </v:textbox>
                <w10:wrap type="tight"/>
              </v:shape>
            </w:pict>
          </mc:Fallback>
        </mc:AlternateContent>
      </w:r>
      <w:r>
        <w:rPr>
          <w:rFonts w:ascii="Garamond" w:eastAsia="Garamond" w:hAnsi="Garamond" w:cs="Garamond"/>
          <w:b/>
          <w:color w:val="000000"/>
        </w:rPr>
        <w:t xml:space="preserve">F. References </w:t>
      </w:r>
    </w:p>
    <w:p w14:paraId="48A256A2" w14:textId="77777777" w:rsidR="00BA3FBD" w:rsidRDefault="00000000">
      <w:pPr>
        <w:widowControl w:val="0"/>
        <w:pBdr>
          <w:top w:val="nil"/>
          <w:left w:val="nil"/>
          <w:bottom w:val="nil"/>
          <w:right w:val="nil"/>
          <w:between w:val="nil"/>
        </w:pBdr>
        <w:spacing w:line="224" w:lineRule="auto"/>
        <w:ind w:left="859" w:right="278" w:hanging="730"/>
        <w:rPr>
          <w:rFonts w:ascii="Garamond" w:eastAsia="Garamond" w:hAnsi="Garamond" w:cs="Garamond"/>
          <w:color w:val="000000"/>
        </w:rPr>
      </w:pPr>
      <w:r>
        <w:rPr>
          <w:rFonts w:ascii="Garamond" w:eastAsia="Garamond" w:hAnsi="Garamond" w:cs="Garamond"/>
          <w:color w:val="000000"/>
        </w:rPr>
        <w:t>A</w:t>
      </w:r>
      <w:r>
        <w:rPr>
          <w:rFonts w:ascii="Garamond" w:eastAsia="Garamond" w:hAnsi="Garamond" w:cs="Garamond"/>
          <w:color w:val="000000"/>
          <w:highlight w:val="white"/>
        </w:rPr>
        <w:t>kee, Randall K. Q., William E. Copeland, Gordon Keeler, Adrian Angold, and E. Jane Costello. 2010.</w:t>
      </w:r>
      <w:r>
        <w:rPr>
          <w:rFonts w:ascii="Garamond" w:eastAsia="Garamond" w:hAnsi="Garamond" w:cs="Garamond"/>
          <w:color w:val="000000"/>
        </w:rPr>
        <w:t xml:space="preserve"> </w:t>
      </w:r>
      <w:r>
        <w:rPr>
          <w:rFonts w:ascii="Garamond" w:eastAsia="Garamond" w:hAnsi="Garamond" w:cs="Garamond"/>
          <w:color w:val="000000"/>
          <w:highlight w:val="white"/>
        </w:rPr>
        <w:t>“Parents’ Incomes and Children's Outcomes: A Quasi-experiment Using Transfer Payments from</w:t>
      </w:r>
      <w:r>
        <w:rPr>
          <w:rFonts w:ascii="Garamond" w:eastAsia="Garamond" w:hAnsi="Garamond" w:cs="Garamond"/>
          <w:color w:val="000000"/>
        </w:rPr>
        <w:t xml:space="preserve"> </w:t>
      </w:r>
      <w:r>
        <w:rPr>
          <w:rFonts w:ascii="Garamond" w:eastAsia="Garamond" w:hAnsi="Garamond" w:cs="Garamond"/>
          <w:color w:val="000000"/>
          <w:highlight w:val="white"/>
        </w:rPr>
        <w:t xml:space="preserve">Casino Profits.” </w:t>
      </w:r>
      <w:r>
        <w:rPr>
          <w:rFonts w:ascii="Garamond" w:eastAsia="Garamond" w:hAnsi="Garamond" w:cs="Garamond"/>
          <w:i/>
          <w:color w:val="000000"/>
          <w:highlight w:val="white"/>
        </w:rPr>
        <w:t>American Economic Journal: Applied Economics</w:t>
      </w:r>
      <w:r>
        <w:rPr>
          <w:rFonts w:ascii="Garamond" w:eastAsia="Garamond" w:hAnsi="Garamond" w:cs="Garamond"/>
          <w:color w:val="000000"/>
          <w:highlight w:val="white"/>
        </w:rPr>
        <w:t>, 2 (1): 86-115.</w:t>
      </w:r>
      <w:r>
        <w:rPr>
          <w:rFonts w:ascii="Garamond" w:eastAsia="Garamond" w:hAnsi="Garamond" w:cs="Garamond"/>
          <w:color w:val="000000"/>
        </w:rPr>
        <w:t xml:space="preserve"> </w:t>
      </w:r>
    </w:p>
    <w:p w14:paraId="16E26716" w14:textId="77777777" w:rsidR="00BA3FBD" w:rsidRDefault="00000000">
      <w:pPr>
        <w:widowControl w:val="0"/>
        <w:pBdr>
          <w:top w:val="nil"/>
          <w:left w:val="nil"/>
          <w:bottom w:val="nil"/>
          <w:right w:val="nil"/>
          <w:between w:val="nil"/>
        </w:pBdr>
        <w:spacing w:before="4" w:line="224" w:lineRule="auto"/>
        <w:ind w:left="909" w:right="263" w:hanging="776"/>
        <w:rPr>
          <w:rFonts w:ascii="Garamond" w:eastAsia="Garamond" w:hAnsi="Garamond" w:cs="Garamond"/>
          <w:color w:val="000000"/>
          <w:highlight w:val="white"/>
        </w:rPr>
      </w:pPr>
      <w:r>
        <w:rPr>
          <w:rFonts w:ascii="Garamond" w:eastAsia="Garamond" w:hAnsi="Garamond" w:cs="Garamond"/>
          <w:color w:val="000000"/>
          <w:highlight w:val="white"/>
        </w:rPr>
        <w:t xml:space="preserve">Bartik, A., </w:t>
      </w:r>
      <w:proofErr w:type="spellStart"/>
      <w:r>
        <w:rPr>
          <w:rFonts w:ascii="Garamond" w:eastAsia="Garamond" w:hAnsi="Garamond" w:cs="Garamond"/>
          <w:color w:val="000000"/>
          <w:highlight w:val="white"/>
        </w:rPr>
        <w:t>Broockman</w:t>
      </w:r>
      <w:proofErr w:type="spellEnd"/>
      <w:r>
        <w:rPr>
          <w:rFonts w:ascii="Garamond" w:eastAsia="Garamond" w:hAnsi="Garamond" w:cs="Garamond"/>
          <w:color w:val="000000"/>
          <w:highlight w:val="white"/>
        </w:rPr>
        <w:t xml:space="preserve">, D., Miller, S., Rhodes, E., &amp; </w:t>
      </w:r>
      <w:proofErr w:type="spellStart"/>
      <w:r>
        <w:rPr>
          <w:rFonts w:ascii="Garamond" w:eastAsia="Garamond" w:hAnsi="Garamond" w:cs="Garamond"/>
          <w:color w:val="000000"/>
          <w:highlight w:val="white"/>
        </w:rPr>
        <w:t>Vivalt</w:t>
      </w:r>
      <w:proofErr w:type="spellEnd"/>
      <w:r>
        <w:rPr>
          <w:rFonts w:ascii="Garamond" w:eastAsia="Garamond" w:hAnsi="Garamond" w:cs="Garamond"/>
          <w:color w:val="000000"/>
          <w:highlight w:val="white"/>
        </w:rPr>
        <w:t xml:space="preserve">, E. (2020, January). </w:t>
      </w:r>
      <w:proofErr w:type="spellStart"/>
      <w:r>
        <w:rPr>
          <w:rFonts w:ascii="Garamond" w:eastAsia="Garamond" w:hAnsi="Garamond" w:cs="Garamond"/>
          <w:color w:val="000000"/>
          <w:highlight w:val="white"/>
        </w:rPr>
        <w:t>OpenResearch</w:t>
      </w:r>
      <w:proofErr w:type="spellEnd"/>
      <w:r>
        <w:rPr>
          <w:rFonts w:ascii="Garamond" w:eastAsia="Garamond" w:hAnsi="Garamond" w:cs="Garamond"/>
          <w:color w:val="000000"/>
          <w:highlight w:val="white"/>
        </w:rPr>
        <w:t xml:space="preserve"> Basic Income</w:t>
      </w:r>
      <w:r>
        <w:rPr>
          <w:rFonts w:ascii="Garamond" w:eastAsia="Garamond" w:hAnsi="Garamond" w:cs="Garamond"/>
          <w:color w:val="000000"/>
        </w:rPr>
        <w:t xml:space="preserve"> </w:t>
      </w:r>
      <w:r>
        <w:rPr>
          <w:rFonts w:ascii="Garamond" w:eastAsia="Garamond" w:hAnsi="Garamond" w:cs="Garamond"/>
          <w:color w:val="000000"/>
          <w:highlight w:val="white"/>
        </w:rPr>
        <w:t xml:space="preserve">Project Proposal. </w:t>
      </w:r>
    </w:p>
    <w:p w14:paraId="06996F7E" w14:textId="77777777" w:rsidR="00BA3FBD" w:rsidRDefault="00000000">
      <w:pPr>
        <w:widowControl w:val="0"/>
        <w:pBdr>
          <w:top w:val="nil"/>
          <w:left w:val="nil"/>
          <w:bottom w:val="nil"/>
          <w:right w:val="nil"/>
          <w:between w:val="nil"/>
        </w:pBdr>
        <w:spacing w:before="4" w:line="224" w:lineRule="auto"/>
        <w:ind w:left="917" w:right="21" w:hanging="777"/>
        <w:rPr>
          <w:rFonts w:ascii="Garamond" w:eastAsia="Garamond" w:hAnsi="Garamond" w:cs="Garamond"/>
          <w:color w:val="000000"/>
        </w:rPr>
      </w:pPr>
      <w:r>
        <w:rPr>
          <w:rFonts w:ascii="Garamond" w:eastAsia="Garamond" w:hAnsi="Garamond" w:cs="Garamond"/>
          <w:color w:val="000000"/>
        </w:rPr>
        <w:t xml:space="preserve">Culhane, Dennis P. 2008. “The Cost of Homelessness: A Perspective from the United States.” </w:t>
      </w:r>
      <w:r>
        <w:rPr>
          <w:rFonts w:ascii="Garamond" w:eastAsia="Garamond" w:hAnsi="Garamond" w:cs="Garamond"/>
          <w:i/>
          <w:color w:val="000000"/>
        </w:rPr>
        <w:t xml:space="preserve">European Journal of Homelessness </w:t>
      </w:r>
      <w:r>
        <w:rPr>
          <w:rFonts w:ascii="Garamond" w:eastAsia="Garamond" w:hAnsi="Garamond" w:cs="Garamond"/>
          <w:color w:val="000000"/>
        </w:rPr>
        <w:t xml:space="preserve">2 (2008): 97–114. </w:t>
      </w:r>
    </w:p>
    <w:p w14:paraId="4756E69A" w14:textId="77777777" w:rsidR="00BA3FBD" w:rsidRDefault="00000000">
      <w:pPr>
        <w:widowControl w:val="0"/>
        <w:pBdr>
          <w:top w:val="nil"/>
          <w:left w:val="nil"/>
          <w:bottom w:val="nil"/>
          <w:right w:val="nil"/>
          <w:between w:val="nil"/>
        </w:pBdr>
        <w:spacing w:before="4" w:line="224" w:lineRule="auto"/>
        <w:ind w:left="134" w:right="391" w:firstLine="5"/>
        <w:rPr>
          <w:rFonts w:ascii="Garamond" w:eastAsia="Garamond" w:hAnsi="Garamond" w:cs="Garamond"/>
          <w:color w:val="000000"/>
        </w:rPr>
      </w:pPr>
      <w:r>
        <w:rPr>
          <w:rFonts w:ascii="Garamond" w:eastAsia="Garamond" w:hAnsi="Garamond" w:cs="Garamond"/>
          <w:color w:val="000000"/>
        </w:rPr>
        <w:t xml:space="preserve">Gubits, D., Shinn, M., Bell, S., Wood, M., Dastrup, S. R., Solari, C., &amp; McInnis, D. (2015). “Family options study: Short-term impacts of housing and services interventions for homeless families.” Hoynes, H., &amp; Rothstein, J. (2019). “Universal basic income in the United States and advanced countries.” </w:t>
      </w:r>
      <w:r>
        <w:rPr>
          <w:rFonts w:ascii="Garamond" w:eastAsia="Garamond" w:hAnsi="Garamond" w:cs="Garamond"/>
          <w:i/>
          <w:color w:val="000000"/>
        </w:rPr>
        <w:t>Annual Review of Economics</w:t>
      </w:r>
      <w:r>
        <w:rPr>
          <w:rFonts w:ascii="Garamond" w:eastAsia="Garamond" w:hAnsi="Garamond" w:cs="Garamond"/>
          <w:color w:val="000000"/>
        </w:rPr>
        <w:t xml:space="preserve">, </w:t>
      </w:r>
      <w:r>
        <w:rPr>
          <w:rFonts w:ascii="Garamond" w:eastAsia="Garamond" w:hAnsi="Garamond" w:cs="Garamond"/>
          <w:i/>
          <w:color w:val="000000"/>
        </w:rPr>
        <w:t>11</w:t>
      </w:r>
      <w:r>
        <w:rPr>
          <w:rFonts w:ascii="Garamond" w:eastAsia="Garamond" w:hAnsi="Garamond" w:cs="Garamond"/>
          <w:color w:val="000000"/>
        </w:rPr>
        <w:t xml:space="preserve">(1), 929–958. </w:t>
      </w:r>
    </w:p>
    <w:p w14:paraId="6BD973C4" w14:textId="77777777" w:rsidR="00BA3FBD" w:rsidRDefault="00000000">
      <w:pPr>
        <w:widowControl w:val="0"/>
        <w:pBdr>
          <w:top w:val="nil"/>
          <w:left w:val="nil"/>
          <w:bottom w:val="nil"/>
          <w:right w:val="nil"/>
          <w:between w:val="nil"/>
        </w:pBdr>
        <w:spacing w:before="4" w:line="240" w:lineRule="auto"/>
        <w:ind w:left="853"/>
        <w:rPr>
          <w:rFonts w:ascii="Garamond" w:eastAsia="Garamond" w:hAnsi="Garamond" w:cs="Garamond"/>
          <w:color w:val="000000"/>
        </w:rPr>
      </w:pPr>
      <w:r>
        <w:rPr>
          <w:rFonts w:ascii="Garamond" w:eastAsia="Garamond" w:hAnsi="Garamond" w:cs="Garamond"/>
          <w:color w:val="000000"/>
        </w:rPr>
        <w:t xml:space="preserve">https://doi.org/10.1146/annurev-economics-080218-030237 </w:t>
      </w:r>
    </w:p>
    <w:p w14:paraId="103B0D88" w14:textId="77777777" w:rsidR="00BA3FBD" w:rsidRDefault="00000000">
      <w:pPr>
        <w:widowControl w:val="0"/>
        <w:pBdr>
          <w:top w:val="nil"/>
          <w:left w:val="nil"/>
          <w:bottom w:val="nil"/>
          <w:right w:val="nil"/>
          <w:between w:val="nil"/>
        </w:pBdr>
        <w:spacing w:line="224" w:lineRule="auto"/>
        <w:ind w:left="853" w:right="570" w:hanging="722"/>
        <w:rPr>
          <w:rFonts w:ascii="Garamond" w:eastAsia="Garamond" w:hAnsi="Garamond" w:cs="Garamond"/>
          <w:color w:val="000000"/>
        </w:rPr>
      </w:pPr>
      <w:r>
        <w:rPr>
          <w:rFonts w:ascii="Garamond" w:eastAsia="Garamond" w:hAnsi="Garamond" w:cs="Garamond"/>
          <w:color w:val="000000"/>
        </w:rPr>
        <w:t xml:space="preserve">Morduch, J., &amp; Schneider, R. (2017). The Financial Diaries: How American Families Cope in a World of Uncertainty. Princeton University Press. </w:t>
      </w:r>
    </w:p>
    <w:p w14:paraId="4482E077" w14:textId="77777777" w:rsidR="00BA3FBD" w:rsidRDefault="00000000">
      <w:pPr>
        <w:widowControl w:val="0"/>
        <w:pBdr>
          <w:top w:val="nil"/>
          <w:left w:val="nil"/>
          <w:bottom w:val="nil"/>
          <w:right w:val="nil"/>
          <w:between w:val="nil"/>
        </w:pBdr>
        <w:spacing w:before="4" w:line="224" w:lineRule="auto"/>
        <w:ind w:left="138" w:right="15" w:hanging="3"/>
        <w:rPr>
          <w:rFonts w:ascii="Garamond" w:eastAsia="Garamond" w:hAnsi="Garamond" w:cs="Garamond"/>
          <w:color w:val="000000"/>
        </w:rPr>
      </w:pPr>
      <w:r>
        <w:rPr>
          <w:rFonts w:ascii="Garamond" w:eastAsia="Garamond" w:hAnsi="Garamond" w:cs="Garamond"/>
          <w:color w:val="000000"/>
        </w:rPr>
        <w:t xml:space="preserve">Raven, MC, Niedzwiecki, MJ, Kushel, M. A randomized trial of permanent supportive housing for chronically </w:t>
      </w:r>
    </w:p>
    <w:p w14:paraId="6BEA08B3" w14:textId="77777777" w:rsidR="00BA3FBD" w:rsidRDefault="00000000">
      <w:pPr>
        <w:widowControl w:val="0"/>
        <w:pBdr>
          <w:top w:val="nil"/>
          <w:left w:val="nil"/>
          <w:bottom w:val="nil"/>
          <w:right w:val="nil"/>
          <w:between w:val="nil"/>
        </w:pBdr>
        <w:spacing w:before="4" w:line="224" w:lineRule="auto"/>
        <w:ind w:left="853" w:right="553"/>
        <w:rPr>
          <w:rFonts w:ascii="Garamond" w:eastAsia="Garamond" w:hAnsi="Garamond" w:cs="Garamond"/>
          <w:color w:val="1155CC"/>
        </w:rPr>
      </w:pPr>
      <w:r>
        <w:rPr>
          <w:rFonts w:ascii="Garamond" w:eastAsia="Garamond" w:hAnsi="Garamond" w:cs="Garamond"/>
          <w:color w:val="000000"/>
        </w:rPr>
        <w:t xml:space="preserve">homeless persons with high use of publicly funded services. </w:t>
      </w:r>
      <w:r>
        <w:rPr>
          <w:rFonts w:ascii="Garamond" w:eastAsia="Garamond" w:hAnsi="Garamond" w:cs="Garamond"/>
          <w:i/>
          <w:color w:val="000000"/>
        </w:rPr>
        <w:t>Health Serv Res</w:t>
      </w:r>
      <w:r>
        <w:rPr>
          <w:rFonts w:ascii="Garamond" w:eastAsia="Garamond" w:hAnsi="Garamond" w:cs="Garamond"/>
          <w:color w:val="000000"/>
        </w:rPr>
        <w:t xml:space="preserve">. 2020; 55: 797– 806. </w:t>
      </w:r>
      <w:r>
        <w:rPr>
          <w:rFonts w:ascii="Garamond" w:eastAsia="Garamond" w:hAnsi="Garamond" w:cs="Garamond"/>
          <w:color w:val="1155CC"/>
          <w:u w:val="single"/>
        </w:rPr>
        <w:t>https://doi.org/10.1111/1475-6773.13553</w:t>
      </w:r>
      <w:r>
        <w:rPr>
          <w:rFonts w:ascii="Garamond" w:eastAsia="Garamond" w:hAnsi="Garamond" w:cs="Garamond"/>
          <w:color w:val="1155CC"/>
        </w:rPr>
        <w:t xml:space="preserve"> </w:t>
      </w:r>
    </w:p>
    <w:p w14:paraId="0C5CA235" w14:textId="77777777" w:rsidR="00BA3FBD" w:rsidRDefault="00000000">
      <w:pPr>
        <w:widowControl w:val="0"/>
        <w:pBdr>
          <w:top w:val="nil"/>
          <w:left w:val="nil"/>
          <w:bottom w:val="nil"/>
          <w:right w:val="nil"/>
          <w:between w:val="nil"/>
        </w:pBdr>
        <w:spacing w:before="4" w:line="224" w:lineRule="auto"/>
        <w:ind w:left="129" w:right="91" w:firstLine="8"/>
        <w:rPr>
          <w:rFonts w:ascii="Garamond" w:eastAsia="Garamond" w:hAnsi="Garamond" w:cs="Garamond"/>
          <w:color w:val="000000"/>
        </w:rPr>
      </w:pPr>
      <w:r>
        <w:rPr>
          <w:rFonts w:ascii="Garamond" w:eastAsia="Garamond" w:hAnsi="Garamond" w:cs="Garamond"/>
          <w:color w:val="000000"/>
        </w:rPr>
        <w:t xml:space="preserve">Silver, D., &amp; Zhang, J. (2022). Impacts of Basic Income on Health and Economic Well-Being: Evidence from the VA’s Disability Compensation Program (No. w29877). National Bureau of Economic Research. The Stanford Basic Income Lab. (n.d.). </w:t>
      </w:r>
      <w:r>
        <w:rPr>
          <w:rFonts w:ascii="Garamond" w:eastAsia="Garamond" w:hAnsi="Garamond" w:cs="Garamond"/>
          <w:i/>
          <w:color w:val="000000"/>
        </w:rPr>
        <w:t>Global Map of Basic Income Experiments: Stanford basic income lab</w:t>
      </w:r>
      <w:r>
        <w:rPr>
          <w:rFonts w:ascii="Garamond" w:eastAsia="Garamond" w:hAnsi="Garamond" w:cs="Garamond"/>
          <w:color w:val="000000"/>
        </w:rPr>
        <w:t xml:space="preserve">. The Stanford Basic Income Lab. Retrieved September 6, 2022, from </w:t>
      </w:r>
    </w:p>
    <w:p w14:paraId="58C78360" w14:textId="77777777" w:rsidR="00BA3FBD" w:rsidRDefault="00000000">
      <w:pPr>
        <w:widowControl w:val="0"/>
        <w:pBdr>
          <w:top w:val="nil"/>
          <w:left w:val="nil"/>
          <w:bottom w:val="nil"/>
          <w:right w:val="nil"/>
          <w:between w:val="nil"/>
        </w:pBdr>
        <w:spacing w:before="4" w:line="240" w:lineRule="auto"/>
        <w:ind w:left="853"/>
        <w:rPr>
          <w:rFonts w:ascii="Garamond" w:eastAsia="Garamond" w:hAnsi="Garamond" w:cs="Garamond"/>
          <w:color w:val="000000"/>
        </w:rPr>
      </w:pPr>
      <w:r>
        <w:rPr>
          <w:rFonts w:ascii="Garamond" w:eastAsia="Garamond" w:hAnsi="Garamond" w:cs="Garamond"/>
          <w:color w:val="000000"/>
        </w:rPr>
        <w:t xml:space="preserve">https://basicincome.stanford.edu/experiments-map/ </w:t>
      </w:r>
    </w:p>
    <w:p w14:paraId="7907D596" w14:textId="77777777" w:rsidR="00BA3FBD" w:rsidRDefault="00000000">
      <w:pPr>
        <w:widowControl w:val="0"/>
        <w:pBdr>
          <w:top w:val="nil"/>
          <w:left w:val="nil"/>
          <w:bottom w:val="nil"/>
          <w:right w:val="nil"/>
          <w:between w:val="nil"/>
        </w:pBdr>
        <w:spacing w:line="224" w:lineRule="auto"/>
        <w:ind w:left="851" w:right="217" w:hanging="723"/>
        <w:rPr>
          <w:rFonts w:ascii="Garamond" w:eastAsia="Garamond" w:hAnsi="Garamond" w:cs="Garamond"/>
          <w:color w:val="000000"/>
        </w:rPr>
      </w:pPr>
      <w:r>
        <w:rPr>
          <w:rFonts w:ascii="Garamond" w:eastAsia="Garamond" w:hAnsi="Garamond" w:cs="Garamond"/>
          <w:color w:val="000000"/>
        </w:rPr>
        <w:t xml:space="preserve">Walton, Douglas, Michelle Wood, Jason Rodriguez, Jill Khadduri, Daniel Gubits, Lauren Dunton, and Marybeth Shinn (2018). Understanding Rapid Re-housing: Supplemental Analysis of Data from the Family Options Study. US Department of Housing and Urban Development, Office of Policy Development and Research. </w:t>
      </w:r>
    </w:p>
    <w:p w14:paraId="3C99C1EB" w14:textId="77777777" w:rsidR="00BA3FBD" w:rsidRDefault="00000000">
      <w:pPr>
        <w:widowControl w:val="0"/>
        <w:pBdr>
          <w:top w:val="nil"/>
          <w:left w:val="nil"/>
          <w:bottom w:val="nil"/>
          <w:right w:val="nil"/>
          <w:between w:val="nil"/>
        </w:pBdr>
        <w:spacing w:before="4" w:line="224" w:lineRule="auto"/>
        <w:ind w:left="855" w:right="750" w:hanging="727"/>
        <w:rPr>
          <w:rFonts w:ascii="Garamond" w:eastAsia="Garamond" w:hAnsi="Garamond" w:cs="Garamond"/>
          <w:color w:val="000000"/>
        </w:rPr>
      </w:pPr>
      <w:r>
        <w:rPr>
          <w:rFonts w:ascii="Garamond" w:eastAsia="Garamond" w:hAnsi="Garamond" w:cs="Garamond"/>
          <w:color w:val="000000"/>
        </w:rPr>
        <w:t xml:space="preserve">West, S., Baker, A.C., Samra, S., </w:t>
      </w:r>
      <w:proofErr w:type="spellStart"/>
      <w:r>
        <w:rPr>
          <w:rFonts w:ascii="Garamond" w:eastAsia="Garamond" w:hAnsi="Garamond" w:cs="Garamond"/>
          <w:color w:val="000000"/>
        </w:rPr>
        <w:t>Coltrera</w:t>
      </w:r>
      <w:proofErr w:type="spellEnd"/>
      <w:r>
        <w:rPr>
          <w:rFonts w:ascii="Garamond" w:eastAsia="Garamond" w:hAnsi="Garamond" w:cs="Garamond"/>
          <w:color w:val="000000"/>
        </w:rPr>
        <w:t xml:space="preserve">, E. (2021) Preliminary Analysis: SEED’s First Year. Stockton Economic Empowerment Demonstration. </w:t>
      </w:r>
    </w:p>
    <w:p w14:paraId="71B139E5" w14:textId="77777777" w:rsidR="00BA3FBD" w:rsidRDefault="00000000">
      <w:pPr>
        <w:widowControl w:val="0"/>
        <w:pBdr>
          <w:top w:val="nil"/>
          <w:left w:val="nil"/>
          <w:bottom w:val="nil"/>
          <w:right w:val="nil"/>
          <w:between w:val="nil"/>
        </w:pBdr>
        <w:spacing w:before="4" w:line="224" w:lineRule="auto"/>
        <w:ind w:left="875" w:right="339" w:hanging="741"/>
        <w:rPr>
          <w:rFonts w:ascii="Garamond" w:eastAsia="Garamond" w:hAnsi="Garamond" w:cs="Garamond"/>
          <w:color w:val="000000"/>
        </w:rPr>
      </w:pPr>
      <w:r>
        <w:rPr>
          <w:rFonts w:ascii="Garamond" w:eastAsia="Garamond" w:hAnsi="Garamond" w:cs="Garamond"/>
          <w:color w:val="000000"/>
        </w:rPr>
        <w:t xml:space="preserve">U.S. Housing and Urban Development (HUD, 2022), </w:t>
      </w:r>
      <w:r>
        <w:rPr>
          <w:rFonts w:ascii="Garamond" w:eastAsia="Garamond" w:hAnsi="Garamond" w:cs="Garamond"/>
          <w:i/>
          <w:color w:val="000000"/>
        </w:rPr>
        <w:t xml:space="preserve">2021 AHAR: Part 1 - PIT estimates of homelessness in the U.S. </w:t>
      </w:r>
      <w:r>
        <w:rPr>
          <w:rFonts w:ascii="Garamond" w:eastAsia="Garamond" w:hAnsi="Garamond" w:cs="Garamond"/>
          <w:color w:val="000000"/>
        </w:rPr>
        <w:t xml:space="preserve">HUD Exchange. </w:t>
      </w:r>
    </w:p>
    <w:p w14:paraId="37070B1D" w14:textId="77777777" w:rsidR="00BA3FBD" w:rsidRDefault="00000000">
      <w:pPr>
        <w:widowControl w:val="0"/>
        <w:pBdr>
          <w:top w:val="nil"/>
          <w:left w:val="nil"/>
          <w:bottom w:val="nil"/>
          <w:right w:val="nil"/>
          <w:between w:val="nil"/>
        </w:pBdr>
        <w:spacing w:before="4" w:line="224" w:lineRule="auto"/>
        <w:ind w:left="853" w:right="52"/>
        <w:rPr>
          <w:rFonts w:ascii="Garamond" w:eastAsia="Garamond" w:hAnsi="Garamond" w:cs="Garamond"/>
          <w:color w:val="000000"/>
        </w:rPr>
      </w:pPr>
      <w:r>
        <w:rPr>
          <w:rFonts w:ascii="Garamond" w:eastAsia="Garamond" w:hAnsi="Garamond" w:cs="Garamond"/>
          <w:color w:val="1155CC"/>
          <w:u w:val="single"/>
        </w:rPr>
        <w:t>https://www.hudexchange.info/resource/6573/2021-ahar-part-1--pit-estimates-of-homelessness-in</w:t>
      </w:r>
      <w:r>
        <w:rPr>
          <w:rFonts w:ascii="Garamond" w:eastAsia="Garamond" w:hAnsi="Garamond" w:cs="Garamond"/>
          <w:color w:val="000000"/>
          <w:u w:val="single"/>
        </w:rPr>
        <w:t>-</w:t>
      </w:r>
      <w:r>
        <w:rPr>
          <w:rFonts w:ascii="Garamond" w:eastAsia="Garamond" w:hAnsi="Garamond" w:cs="Garamond"/>
          <w:color w:val="000000"/>
        </w:rPr>
        <w:t xml:space="preserve">t he-us/ </w:t>
      </w:r>
    </w:p>
    <w:p w14:paraId="24423A38" w14:textId="77777777" w:rsidR="00BA3FBD" w:rsidRDefault="00000000">
      <w:pPr>
        <w:widowControl w:val="0"/>
        <w:pBdr>
          <w:top w:val="nil"/>
          <w:left w:val="nil"/>
          <w:bottom w:val="nil"/>
          <w:right w:val="nil"/>
          <w:between w:val="nil"/>
        </w:pBdr>
        <w:spacing w:before="4" w:line="224" w:lineRule="auto"/>
        <w:ind w:left="855" w:right="41" w:hanging="727"/>
        <w:rPr>
          <w:rFonts w:ascii="Garamond" w:eastAsia="Garamond" w:hAnsi="Garamond" w:cs="Garamond"/>
          <w:color w:val="000000"/>
        </w:rPr>
      </w:pPr>
      <w:r>
        <w:rPr>
          <w:rFonts w:ascii="Garamond" w:eastAsia="Garamond" w:hAnsi="Garamond" w:cs="Garamond"/>
          <w:color w:val="000000"/>
        </w:rPr>
        <w:t xml:space="preserve">Yoo, P. Y., Duncan, G. J., Magnuson, K., Fox, N. A., Yoshikawa, H., Halpern-Meekin, S., &amp; Noble, K. G. (2022). Unconditional cash transfers and maternal substance use: findings from a randomized control trial of low-income mothers with infants in the US. </w:t>
      </w:r>
      <w:r>
        <w:rPr>
          <w:rFonts w:ascii="Garamond" w:eastAsia="Garamond" w:hAnsi="Garamond" w:cs="Garamond"/>
          <w:i/>
          <w:color w:val="000000"/>
        </w:rPr>
        <w:t>BMC Public Health</w:t>
      </w:r>
      <w:r>
        <w:rPr>
          <w:rFonts w:ascii="Garamond" w:eastAsia="Garamond" w:hAnsi="Garamond" w:cs="Garamond"/>
          <w:color w:val="000000"/>
        </w:rPr>
        <w:t xml:space="preserve">, 22(1), 1-11. </w:t>
      </w:r>
    </w:p>
    <w:p w14:paraId="5CBB3E2F" w14:textId="77777777" w:rsidR="00B745AE" w:rsidRDefault="00B745AE">
      <w:pPr>
        <w:rPr>
          <w:rFonts w:ascii="Garamond" w:eastAsia="Garamond" w:hAnsi="Garamond" w:cs="Garamond"/>
          <w:b/>
          <w:color w:val="000000"/>
        </w:rPr>
      </w:pPr>
      <w:r>
        <w:rPr>
          <w:rFonts w:ascii="Garamond" w:eastAsia="Garamond" w:hAnsi="Garamond" w:cs="Garamond"/>
          <w:b/>
          <w:color w:val="000000"/>
        </w:rPr>
        <w:br w:type="page"/>
      </w:r>
    </w:p>
    <w:p w14:paraId="1BC0324A" w14:textId="68C9560E" w:rsidR="00BA3FBD" w:rsidRDefault="00307834">
      <w:pPr>
        <w:widowControl w:val="0"/>
        <w:pBdr>
          <w:top w:val="nil"/>
          <w:left w:val="nil"/>
          <w:bottom w:val="nil"/>
          <w:right w:val="nil"/>
          <w:between w:val="nil"/>
        </w:pBdr>
        <w:spacing w:before="280" w:line="240" w:lineRule="auto"/>
        <w:ind w:left="127"/>
        <w:rPr>
          <w:rFonts w:ascii="Garamond" w:eastAsia="Garamond" w:hAnsi="Garamond" w:cs="Garamond"/>
          <w:b/>
          <w:color w:val="000000"/>
        </w:rPr>
      </w:pPr>
      <w:r>
        <w:rPr>
          <w:rFonts w:ascii="Garamond" w:eastAsia="Garamond" w:hAnsi="Garamond" w:cs="Garamond"/>
          <w:b/>
          <w:noProof/>
          <w:color w:val="000000"/>
        </w:rPr>
        <w:lastRenderedPageBreak/>
        <mc:AlternateContent>
          <mc:Choice Requires="wps">
            <w:drawing>
              <wp:anchor distT="0" distB="0" distL="114300" distR="114300" simplePos="0" relativeHeight="251681792" behindDoc="1" locked="0" layoutInCell="1" allowOverlap="1" wp14:anchorId="49C387A1" wp14:editId="7697B956">
                <wp:simplePos x="0" y="0"/>
                <wp:positionH relativeFrom="column">
                  <wp:posOffset>4601210</wp:posOffset>
                </wp:positionH>
                <wp:positionV relativeFrom="paragraph">
                  <wp:posOffset>88491</wp:posOffset>
                </wp:positionV>
                <wp:extent cx="1393190" cy="1445260"/>
                <wp:effectExtent l="0" t="0" r="3810" b="2540"/>
                <wp:wrapTight wrapText="bothSides">
                  <wp:wrapPolygon edited="0">
                    <wp:start x="0" y="0"/>
                    <wp:lineTo x="0" y="21448"/>
                    <wp:lineTo x="21462" y="21448"/>
                    <wp:lineTo x="21462" y="0"/>
                    <wp:lineTo x="0" y="0"/>
                  </wp:wrapPolygon>
                </wp:wrapTight>
                <wp:docPr id="1961546874" name="Text Box 1"/>
                <wp:cNvGraphicFramePr/>
                <a:graphic xmlns:a="http://schemas.openxmlformats.org/drawingml/2006/main">
                  <a:graphicData uri="http://schemas.microsoft.com/office/word/2010/wordprocessingShape">
                    <wps:wsp>
                      <wps:cNvSpPr txBox="1"/>
                      <wps:spPr>
                        <a:xfrm>
                          <a:off x="0" y="0"/>
                          <a:ext cx="1393190" cy="1445260"/>
                        </a:xfrm>
                        <a:prstGeom prst="rect">
                          <a:avLst/>
                        </a:prstGeom>
                        <a:solidFill>
                          <a:srgbClr val="E35925"/>
                        </a:solidFill>
                        <a:ln w="6350">
                          <a:noFill/>
                        </a:ln>
                      </wps:spPr>
                      <wps:txbx>
                        <w:txbxContent>
                          <w:p w14:paraId="316F6313" w14:textId="6F186B2F" w:rsidR="00307834" w:rsidRPr="00307834" w:rsidRDefault="00307834" w:rsidP="00307834">
                            <w:pPr>
                              <w:rPr>
                                <w:rFonts w:ascii="Garamond" w:hAnsi="Garamond"/>
                                <w:b/>
                                <w:bCs/>
                                <w:color w:val="FFFFFF" w:themeColor="background1"/>
                                <w:sz w:val="16"/>
                                <w:szCs w:val="16"/>
                              </w:rPr>
                            </w:pPr>
                            <w:r>
                              <w:rPr>
                                <w:rFonts w:ascii="Garamond" w:hAnsi="Garamond"/>
                                <w:b/>
                                <w:bCs/>
                                <w:color w:val="FFFFFF" w:themeColor="background1"/>
                                <w:sz w:val="16"/>
                                <w:szCs w:val="16"/>
                              </w:rPr>
                              <w:t xml:space="preserve">Applicants are encouraged to respond to the following questions and discuss any potential ethical risks that fall outside IRB review. Responses should be included in a separate addendum. This does not count towards the 5-page limit.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387A1" id="_x0000_s1037" type="#_x0000_t202" style="position:absolute;left:0;text-align:left;margin-left:362.3pt;margin-top:6.95pt;width:109.7pt;height:113.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" fillcolor="#e35925" stroked="f" strokeweight=".5pt">
                <v:textbox>
                  <w:txbxContent>
                    <w:p w14:paraId="316F6313" w14:textId="6F186B2F" w:rsidR="00307834" w:rsidRPr="00307834" w:rsidRDefault="00307834" w:rsidP="00307834">
                      <w:pPr>
                        <w:rPr>
                          <w:rFonts w:ascii="Garamond" w:hAnsi="Garamond"/>
                          <w:b/>
                          <w:bCs/>
                          <w:color w:val="FFFFFF" w:themeColor="background1"/>
                          <w:sz w:val="16"/>
                          <w:szCs w:val="16"/>
                        </w:rPr>
                      </w:pPr>
                      <w:r>
                        <w:rPr>
                          <w:rFonts w:ascii="Garamond" w:hAnsi="Garamond"/>
                          <w:b/>
                          <w:bCs/>
                          <w:color w:val="FFFFFF" w:themeColor="background1"/>
                          <w:sz w:val="16"/>
                          <w:szCs w:val="16"/>
                        </w:rPr>
                        <w:t xml:space="preserve">Applicants are encouraged to respond to the following questions and discuss any potential ethical risks that fall outside IRB review. Responses should be included in a separate addendum. This does not count towards the 5-page limit. </w:t>
                      </w:r>
                    </w:p>
                  </w:txbxContent>
                </v:textbox>
                <w10:wrap type="tight"/>
              </v:shape>
            </w:pict>
          </mc:Fallback>
        </mc:AlternateContent>
      </w:r>
      <w:r>
        <w:rPr>
          <w:rFonts w:ascii="Garamond" w:eastAsia="Garamond" w:hAnsi="Garamond" w:cs="Garamond"/>
          <w:b/>
          <w:color w:val="000000"/>
        </w:rPr>
        <w:t xml:space="preserve">Addendum on Ethics &amp; Risks </w:t>
      </w:r>
    </w:p>
    <w:p w14:paraId="465F839D" w14:textId="45DDCB34" w:rsidR="00BA3FBD" w:rsidRDefault="00000000" w:rsidP="00B745AE">
      <w:pPr>
        <w:widowControl w:val="0"/>
        <w:pBdr>
          <w:top w:val="nil"/>
          <w:left w:val="nil"/>
          <w:bottom w:val="nil"/>
          <w:right w:val="nil"/>
          <w:between w:val="nil"/>
        </w:pBdr>
        <w:spacing w:before="266" w:line="224" w:lineRule="auto"/>
        <w:ind w:left="142" w:right="203" w:hanging="2"/>
        <w:rPr>
          <w:rFonts w:ascii="Garamond" w:eastAsia="Garamond" w:hAnsi="Garamond" w:cs="Garamond"/>
          <w:color w:val="000000"/>
        </w:rPr>
      </w:pPr>
      <w:r>
        <w:rPr>
          <w:rFonts w:ascii="Garamond" w:eastAsia="Garamond" w:hAnsi="Garamond" w:cs="Garamond"/>
          <w:b/>
          <w:color w:val="000000"/>
        </w:rPr>
        <w:t xml:space="preserve">Q-1: </w:t>
      </w:r>
      <w:r>
        <w:rPr>
          <w:rFonts w:ascii="Garamond" w:eastAsia="Garamond" w:hAnsi="Garamond" w:cs="Garamond"/>
          <w:color w:val="000000"/>
        </w:rPr>
        <w:t xml:space="preserve">If the underlying intervention you are studying will not be reviewed by the IRB approval that you have secured or will secure (because, for example, if the intervention is being implemented by outside entities not for research purposes), then please discuss any relevant ethical considerations around the intervention, taking into account the benefits to society of doing this research vs. the risks to subjects. </w:t>
      </w:r>
    </w:p>
    <w:p w14:paraId="594901EA" w14:textId="77777777" w:rsidR="00BA3FBD" w:rsidRDefault="00000000">
      <w:pPr>
        <w:widowControl w:val="0"/>
        <w:pBdr>
          <w:top w:val="nil"/>
          <w:left w:val="nil"/>
          <w:bottom w:val="nil"/>
          <w:right w:val="nil"/>
          <w:between w:val="nil"/>
        </w:pBdr>
        <w:spacing w:before="280" w:line="240" w:lineRule="auto"/>
        <w:ind w:left="145"/>
        <w:rPr>
          <w:rFonts w:ascii="Garamond" w:eastAsia="Garamond" w:hAnsi="Garamond" w:cs="Garamond"/>
          <w:i/>
          <w:color w:val="000000"/>
        </w:rPr>
      </w:pPr>
      <w:r>
        <w:rPr>
          <w:rFonts w:ascii="Garamond" w:eastAsia="Garamond" w:hAnsi="Garamond" w:cs="Garamond"/>
          <w:i/>
          <w:color w:val="000000"/>
        </w:rPr>
        <w:t xml:space="preserve">This project will be reviewed by the University of Notre Dame IRB. </w:t>
      </w:r>
    </w:p>
    <w:p w14:paraId="60DB4CB7" w14:textId="77777777" w:rsidR="00BA3FBD" w:rsidRDefault="00000000">
      <w:pPr>
        <w:widowControl w:val="0"/>
        <w:pBdr>
          <w:top w:val="nil"/>
          <w:left w:val="nil"/>
          <w:bottom w:val="nil"/>
          <w:right w:val="nil"/>
          <w:between w:val="nil"/>
        </w:pBdr>
        <w:spacing w:before="266" w:line="224" w:lineRule="auto"/>
        <w:ind w:left="132" w:right="306" w:firstLine="7"/>
        <w:rPr>
          <w:rFonts w:ascii="Garamond" w:eastAsia="Garamond" w:hAnsi="Garamond" w:cs="Garamond"/>
          <w:color w:val="000000"/>
        </w:rPr>
      </w:pPr>
      <w:r>
        <w:rPr>
          <w:rFonts w:ascii="Garamond" w:eastAsia="Garamond" w:hAnsi="Garamond" w:cs="Garamond"/>
          <w:b/>
          <w:color w:val="000000"/>
        </w:rPr>
        <w:t xml:space="preserve">Q-2: </w:t>
      </w:r>
      <w:r>
        <w:rPr>
          <w:rFonts w:ascii="Garamond" w:eastAsia="Garamond" w:hAnsi="Garamond" w:cs="Garamond"/>
          <w:color w:val="000000"/>
        </w:rPr>
        <w:t xml:space="preserve">Are there potential harms to research participants in the process of data collection and/or research procedures (for example, discomfort to being asked certain questions or breach of confidentiality), that are not part of an existing or planned IRB approval? If so, what are they, and what proactive measures will be taken to assess, monitor, and mitigate/prevent any such potential risks? </w:t>
      </w:r>
    </w:p>
    <w:p w14:paraId="581AF919" w14:textId="77777777" w:rsidR="00BA3FBD" w:rsidRDefault="00000000">
      <w:pPr>
        <w:widowControl w:val="0"/>
        <w:pBdr>
          <w:top w:val="nil"/>
          <w:left w:val="nil"/>
          <w:bottom w:val="nil"/>
          <w:right w:val="nil"/>
          <w:between w:val="nil"/>
        </w:pBdr>
        <w:spacing w:before="280" w:line="240" w:lineRule="auto"/>
        <w:ind w:left="145"/>
        <w:rPr>
          <w:rFonts w:ascii="Garamond" w:eastAsia="Garamond" w:hAnsi="Garamond" w:cs="Garamond"/>
          <w:i/>
          <w:color w:val="000000"/>
        </w:rPr>
      </w:pPr>
      <w:r>
        <w:rPr>
          <w:rFonts w:ascii="Garamond" w:eastAsia="Garamond" w:hAnsi="Garamond" w:cs="Garamond"/>
          <w:i/>
          <w:color w:val="000000"/>
        </w:rPr>
        <w:t xml:space="preserve">There are no potential harms outside of this project’s IRB approval. </w:t>
      </w:r>
    </w:p>
    <w:p w14:paraId="1DD30E26" w14:textId="77777777" w:rsidR="00BA3FBD" w:rsidRDefault="00000000">
      <w:pPr>
        <w:widowControl w:val="0"/>
        <w:pBdr>
          <w:top w:val="nil"/>
          <w:left w:val="nil"/>
          <w:bottom w:val="nil"/>
          <w:right w:val="nil"/>
          <w:between w:val="nil"/>
        </w:pBdr>
        <w:spacing w:before="266" w:line="224" w:lineRule="auto"/>
        <w:ind w:left="133" w:right="55" w:firstLine="5"/>
        <w:rPr>
          <w:rFonts w:ascii="Garamond" w:eastAsia="Garamond" w:hAnsi="Garamond" w:cs="Garamond"/>
          <w:color w:val="000000"/>
        </w:rPr>
      </w:pPr>
      <w:r>
        <w:rPr>
          <w:rFonts w:ascii="Garamond" w:eastAsia="Garamond" w:hAnsi="Garamond" w:cs="Garamond"/>
          <w:b/>
          <w:color w:val="000000"/>
        </w:rPr>
        <w:t xml:space="preserve">Q-3: </w:t>
      </w:r>
      <w:r>
        <w:rPr>
          <w:rFonts w:ascii="Garamond" w:eastAsia="Garamond" w:hAnsi="Garamond" w:cs="Garamond"/>
          <w:color w:val="000000"/>
        </w:rPr>
        <w:t xml:space="preserve">Are there potential harms to research staff from conducting the data collection (such as, for example, exposure to political violence, unusual levels of a communicable disease, emotional well-being from surveying about difficult matters)? If so, what are they? Has the team taken proactive measures to assess, monitor, and mitigate/prevent any such potential risks? </w:t>
      </w:r>
    </w:p>
    <w:p w14:paraId="44D28805" w14:textId="60CEA148" w:rsidR="00BA3FBD" w:rsidRDefault="00000000">
      <w:pPr>
        <w:widowControl w:val="0"/>
        <w:pBdr>
          <w:top w:val="nil"/>
          <w:left w:val="nil"/>
          <w:bottom w:val="nil"/>
          <w:right w:val="nil"/>
          <w:between w:val="nil"/>
        </w:pBdr>
        <w:spacing w:before="280" w:line="224" w:lineRule="auto"/>
        <w:ind w:left="135" w:right="304" w:firstLine="9"/>
        <w:rPr>
          <w:rFonts w:ascii="Garamond" w:eastAsia="Garamond" w:hAnsi="Garamond" w:cs="Garamond"/>
          <w:i/>
          <w:color w:val="000000"/>
        </w:rPr>
      </w:pPr>
      <w:r>
        <w:rPr>
          <w:rFonts w:ascii="Garamond" w:eastAsia="Garamond" w:hAnsi="Garamond" w:cs="Garamond"/>
          <w:i/>
          <w:color w:val="000000"/>
        </w:rPr>
        <w:t xml:space="preserve">There are no potential harms to research </w:t>
      </w:r>
      <w:r w:rsidR="001135D6">
        <w:rPr>
          <w:rFonts w:ascii="Garamond" w:eastAsia="Garamond" w:hAnsi="Garamond" w:cs="Garamond"/>
          <w:i/>
          <w:color w:val="000000"/>
        </w:rPr>
        <w:t>staff</w:t>
      </w:r>
      <w:r>
        <w:rPr>
          <w:rFonts w:ascii="Garamond" w:eastAsia="Garamond" w:hAnsi="Garamond" w:cs="Garamond"/>
          <w:i/>
          <w:color w:val="000000"/>
        </w:rPr>
        <w:t xml:space="preserve"> from conducting data collection. Data collection will involve administrative data matching and administering surveys. The follow-up surveys will be conducted by a </w:t>
      </w:r>
      <w:proofErr w:type="gramStart"/>
      <w:r>
        <w:rPr>
          <w:rFonts w:ascii="Garamond" w:eastAsia="Garamond" w:hAnsi="Garamond" w:cs="Garamond"/>
          <w:i/>
          <w:color w:val="000000"/>
        </w:rPr>
        <w:t>third party</w:t>
      </w:r>
      <w:proofErr w:type="gramEnd"/>
      <w:r>
        <w:rPr>
          <w:rFonts w:ascii="Garamond" w:eastAsia="Garamond" w:hAnsi="Garamond" w:cs="Garamond"/>
          <w:i/>
          <w:color w:val="000000"/>
        </w:rPr>
        <w:t xml:space="preserve"> survey firm that has expertise conducting such surveys in a safe environment. </w:t>
      </w:r>
    </w:p>
    <w:p w14:paraId="5BB8F4D7" w14:textId="77777777" w:rsidR="00BA3FBD" w:rsidRDefault="00000000">
      <w:pPr>
        <w:widowControl w:val="0"/>
        <w:pBdr>
          <w:top w:val="nil"/>
          <w:left w:val="nil"/>
          <w:bottom w:val="nil"/>
          <w:right w:val="nil"/>
          <w:between w:val="nil"/>
        </w:pBdr>
        <w:spacing w:before="280" w:line="224" w:lineRule="auto"/>
        <w:ind w:left="134" w:right="189" w:firstLine="5"/>
        <w:rPr>
          <w:rFonts w:ascii="Garamond" w:eastAsia="Garamond" w:hAnsi="Garamond" w:cs="Garamond"/>
          <w:color w:val="000000"/>
        </w:rPr>
      </w:pPr>
      <w:r>
        <w:rPr>
          <w:rFonts w:ascii="Garamond" w:eastAsia="Garamond" w:hAnsi="Garamond" w:cs="Garamond"/>
          <w:b/>
          <w:color w:val="000000"/>
        </w:rPr>
        <w:t xml:space="preserve">Q-4: </w:t>
      </w:r>
      <w:r>
        <w:rPr>
          <w:rFonts w:ascii="Garamond" w:eastAsia="Garamond" w:hAnsi="Garamond" w:cs="Garamond"/>
          <w:color w:val="000000"/>
        </w:rPr>
        <w:t xml:space="preserve">Are there any contractual limitations on the ability of the researchers to report the results of the study? If so, what were those restrictions, and who were they from? </w:t>
      </w:r>
    </w:p>
    <w:p w14:paraId="6195D1D1" w14:textId="77777777" w:rsidR="00BA3FBD" w:rsidRDefault="00000000">
      <w:pPr>
        <w:widowControl w:val="0"/>
        <w:pBdr>
          <w:top w:val="nil"/>
          <w:left w:val="nil"/>
          <w:bottom w:val="nil"/>
          <w:right w:val="nil"/>
          <w:between w:val="nil"/>
        </w:pBdr>
        <w:spacing w:before="280" w:line="240" w:lineRule="auto"/>
        <w:ind w:left="145"/>
        <w:rPr>
          <w:rFonts w:ascii="Garamond" w:eastAsia="Garamond" w:hAnsi="Garamond" w:cs="Garamond"/>
          <w:i/>
          <w:color w:val="000000"/>
        </w:rPr>
      </w:pPr>
      <w:r>
        <w:rPr>
          <w:rFonts w:ascii="Garamond" w:eastAsia="Garamond" w:hAnsi="Garamond" w:cs="Garamond"/>
          <w:i/>
          <w:color w:val="000000"/>
        </w:rPr>
        <w:t xml:space="preserve">There are no contractual limitations to report the results of the study. </w:t>
      </w:r>
    </w:p>
    <w:p w14:paraId="4B9F267A" w14:textId="77777777" w:rsidR="00BA3FBD" w:rsidRDefault="00000000">
      <w:pPr>
        <w:widowControl w:val="0"/>
        <w:pBdr>
          <w:top w:val="nil"/>
          <w:left w:val="nil"/>
          <w:bottom w:val="nil"/>
          <w:right w:val="nil"/>
          <w:between w:val="nil"/>
        </w:pBdr>
        <w:spacing w:before="266" w:line="224" w:lineRule="auto"/>
        <w:ind w:left="135" w:right="42" w:firstLine="3"/>
        <w:rPr>
          <w:rFonts w:ascii="Garamond" w:eastAsia="Garamond" w:hAnsi="Garamond" w:cs="Garamond"/>
          <w:color w:val="000000"/>
        </w:rPr>
      </w:pPr>
      <w:r>
        <w:rPr>
          <w:rFonts w:ascii="Garamond" w:eastAsia="Garamond" w:hAnsi="Garamond" w:cs="Garamond"/>
          <w:b/>
          <w:color w:val="000000"/>
        </w:rPr>
        <w:t xml:space="preserve">Q-5: </w:t>
      </w:r>
      <w:r>
        <w:rPr>
          <w:rFonts w:ascii="Garamond" w:eastAsia="Garamond" w:hAnsi="Garamond" w:cs="Garamond"/>
          <w:color w:val="000000"/>
        </w:rPr>
        <w:t xml:space="preserve">Beyond anything discussed and/or disclosed in existing or planned IRB submissions, are there any other ethical considerations that you feel are important for the Board to be aware that you have already thought of these, and incorporated in your work? </w:t>
      </w:r>
    </w:p>
    <w:p w14:paraId="4D9964C1" w14:textId="46C77175" w:rsidR="00BA3FBD" w:rsidRPr="001135D6" w:rsidRDefault="00000000" w:rsidP="001135D6">
      <w:pPr>
        <w:widowControl w:val="0"/>
        <w:pBdr>
          <w:top w:val="nil"/>
          <w:left w:val="nil"/>
          <w:bottom w:val="nil"/>
          <w:right w:val="nil"/>
          <w:between w:val="nil"/>
        </w:pBdr>
        <w:spacing w:before="280" w:line="240" w:lineRule="auto"/>
        <w:ind w:left="118"/>
        <w:rPr>
          <w:rFonts w:ascii="Garamond" w:eastAsia="Garamond" w:hAnsi="Garamond" w:cs="Garamond"/>
          <w:i/>
          <w:color w:val="000000"/>
        </w:rPr>
      </w:pPr>
      <w:r>
        <w:rPr>
          <w:rFonts w:ascii="Garamond" w:eastAsia="Garamond" w:hAnsi="Garamond" w:cs="Garamond"/>
          <w:i/>
          <w:color w:val="000000"/>
        </w:rPr>
        <w:t xml:space="preserve">All known risks will be noted in the IRB, and we believe these risks are minimal. </w:t>
      </w:r>
    </w:p>
    <w:sectPr w:rsidR="00BA3FBD" w:rsidRPr="001135D6" w:rsidSect="00B745AE">
      <w:headerReference w:type="default" r:id="rId8"/>
      <w:headerReference w:type="first" r:id="rId9"/>
      <w:pgSz w:w="12240" w:h="15840"/>
      <w:pgMar w:top="1440" w:right="1440" w:bottom="1440" w:left="1440" w:header="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F61635" w14:textId="77777777" w:rsidR="0009149C" w:rsidRDefault="0009149C">
      <w:pPr>
        <w:spacing w:line="240" w:lineRule="auto"/>
      </w:pPr>
      <w:r>
        <w:separator/>
      </w:r>
    </w:p>
  </w:endnote>
  <w:endnote w:type="continuationSeparator" w:id="0">
    <w:p w14:paraId="4146DA20" w14:textId="77777777" w:rsidR="0009149C" w:rsidRDefault="000914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1A9F43BA-AF73-4B4E-AECF-62AEBF246992}"/>
    <w:embedBold r:id="rId2" w:fontKey="{50B2789C-8861-F14A-9CED-D768729F3A7B}"/>
  </w:font>
  <w:font w:name="Times New Roman">
    <w:panose1 w:val="02020603050405020304"/>
    <w:charset w:val="00"/>
    <w:family w:val="roman"/>
    <w:pitch w:val="variable"/>
    <w:sig w:usb0="E0002EFF" w:usb1="C000785B" w:usb2="00000009" w:usb3="00000000" w:csb0="000001FF" w:csb1="00000000"/>
    <w:embedRegular r:id="rId3" w:fontKey="{DA5AE889-5C1E-7C4F-AD05-05523124D44B}"/>
    <w:embedBold r:id="rId4" w:fontKey="{378606C0-8479-2C44-BFC4-3094CDDA228F}"/>
  </w:font>
  <w:font w:name="Georgia">
    <w:panose1 w:val="02040502050405020303"/>
    <w:charset w:val="00"/>
    <w:family w:val="roman"/>
    <w:pitch w:val="variable"/>
    <w:sig w:usb0="00000287" w:usb1="00000000" w:usb2="00000000" w:usb3="00000000" w:csb0="0000009F" w:csb1="00000000"/>
    <w:embedRegular r:id="rId5" w:fontKey="{1695D1B5-69F2-3C4F-AFB6-8774525EE00D}"/>
    <w:embedItalic r:id="rId6" w:fontKey="{D7267B0F-CA14-DC48-AD94-B03FCCDF0BB8}"/>
  </w:font>
  <w:font w:name="Garamond">
    <w:panose1 w:val="02020404030301010803"/>
    <w:charset w:val="00"/>
    <w:family w:val="roman"/>
    <w:pitch w:val="variable"/>
    <w:sig w:usb0="00000287" w:usb1="00000002" w:usb2="00000000" w:usb3="00000000" w:csb0="0000009F" w:csb1="00000000"/>
    <w:embedRegular r:id="rId7" w:fontKey="{CEB18408-D2F7-1E49-AD89-5EC39947C75D}"/>
    <w:embedBold r:id="rId8" w:fontKey="{2E0CF440-A461-A648-AA22-13A00AB12FCB}"/>
    <w:embedItalic r:id="rId9" w:fontKey="{F5C4F6D1-B0C9-424D-992D-6779BEAB965C}"/>
    <w:embedBoldItalic r:id="rId10" w:fontKey="{5C418BF4-A3AD-CF40-8715-4C0B45A8BEE0}"/>
  </w:font>
  <w:font w:name="Calibri">
    <w:panose1 w:val="020F0502020204030204"/>
    <w:charset w:val="00"/>
    <w:family w:val="swiss"/>
    <w:pitch w:val="variable"/>
    <w:sig w:usb0="E0002AFF" w:usb1="C000247B" w:usb2="00000009" w:usb3="00000000" w:csb0="000001FF" w:csb1="00000000"/>
    <w:embedRegular r:id="rId11" w:fontKey="{2E390B18-1E39-9C4D-B971-026DF812C27D}"/>
  </w:font>
  <w:font w:name="Cambria">
    <w:panose1 w:val="02040503050406030204"/>
    <w:charset w:val="00"/>
    <w:family w:val="roman"/>
    <w:pitch w:val="variable"/>
    <w:sig w:usb0="E00006FF" w:usb1="420024FF" w:usb2="02000000" w:usb3="00000000" w:csb0="0000019F" w:csb1="00000000"/>
    <w:embedRegular r:id="rId12" w:fontKey="{2DE4947A-5A60-FE4A-B904-56F26AED9ED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D0FB0E" w14:textId="77777777" w:rsidR="0009149C" w:rsidRDefault="0009149C">
      <w:pPr>
        <w:spacing w:line="240" w:lineRule="auto"/>
      </w:pPr>
      <w:r>
        <w:separator/>
      </w:r>
    </w:p>
  </w:footnote>
  <w:footnote w:type="continuationSeparator" w:id="0">
    <w:p w14:paraId="40160E6E" w14:textId="77777777" w:rsidR="0009149C" w:rsidRDefault="0009149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08418" w14:textId="77777777" w:rsidR="00FE39FE" w:rsidRDefault="00FE39FE" w:rsidP="00FE39FE">
    <w:pPr>
      <w:rPr>
        <w:b/>
      </w:rPr>
    </w:pPr>
  </w:p>
  <w:p w14:paraId="0F383B67" w14:textId="77777777" w:rsidR="00FE39FE" w:rsidRDefault="00FE39FE" w:rsidP="00B745AE">
    <w:pPr>
      <w:rPr>
        <w:rFonts w:ascii="Garamond" w:hAnsi="Garamond"/>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77695" w14:textId="77777777" w:rsidR="00B745AE" w:rsidRPr="001135D6" w:rsidRDefault="00B745AE" w:rsidP="001135D6">
    <w:pPr>
      <w:jc w:val="center"/>
      <w:rPr>
        <w:rFonts w:ascii="Garamond" w:hAnsi="Garamond"/>
        <w:b/>
        <w:color w:val="A6A6A6" w:themeColor="background1" w:themeShade="A6"/>
      </w:rPr>
    </w:pPr>
  </w:p>
  <w:p w14:paraId="65421E28" w14:textId="358068F4" w:rsidR="00307834" w:rsidRPr="001135D6" w:rsidRDefault="001135D6" w:rsidP="001135D6">
    <w:pPr>
      <w:jc w:val="center"/>
      <w:rPr>
        <w:rFonts w:ascii="Garamond" w:hAnsi="Garamond"/>
        <w:b/>
        <w:color w:val="A6A6A6" w:themeColor="background1" w:themeShade="A6"/>
        <w:sz w:val="21"/>
        <w:szCs w:val="21"/>
      </w:rPr>
    </w:pPr>
    <w:r w:rsidRPr="001135D6">
      <w:rPr>
        <w:rFonts w:ascii="Garamond" w:hAnsi="Garamond"/>
        <w:b/>
        <w:color w:val="A6A6A6" w:themeColor="background1" w:themeShade="A6"/>
      </w:rPr>
      <w:t>T</w:t>
    </w:r>
    <w:r w:rsidR="00B745AE" w:rsidRPr="001135D6">
      <w:rPr>
        <w:rFonts w:ascii="Garamond" w:hAnsi="Garamond"/>
        <w:b/>
        <w:color w:val="A6A6A6" w:themeColor="background1" w:themeShade="A6"/>
        <w:sz w:val="21"/>
        <w:szCs w:val="21"/>
      </w:rPr>
      <w:t xml:space="preserve">he following example is a full proposal submitted by Mary Kate Batistich, Adrienne </w:t>
    </w:r>
    <w:proofErr w:type="spellStart"/>
    <w:r w:rsidR="00B745AE" w:rsidRPr="001135D6">
      <w:rPr>
        <w:rFonts w:ascii="Garamond" w:hAnsi="Garamond"/>
        <w:b/>
        <w:color w:val="A6A6A6" w:themeColor="background1" w:themeShade="A6"/>
        <w:sz w:val="21"/>
        <w:szCs w:val="21"/>
      </w:rPr>
      <w:t>Sabety</w:t>
    </w:r>
    <w:proofErr w:type="spellEnd"/>
    <w:r w:rsidR="00B745AE" w:rsidRPr="001135D6">
      <w:rPr>
        <w:rFonts w:ascii="Garamond" w:hAnsi="Garamond"/>
        <w:b/>
        <w:color w:val="A6A6A6" w:themeColor="background1" w:themeShade="A6"/>
        <w:sz w:val="21"/>
        <w:szCs w:val="21"/>
      </w:rPr>
      <w:t>, and Jim Sullivan, shared here to illustrate how a strong application can meet J-PAL’s evaluation criteria.</w:t>
    </w:r>
  </w:p>
  <w:p w14:paraId="1FD37B1F" w14:textId="1A473A33" w:rsidR="00B745AE" w:rsidRPr="001135D6" w:rsidRDefault="00307834" w:rsidP="001135D6">
    <w:pPr>
      <w:jc w:val="center"/>
      <w:rPr>
        <w:rFonts w:ascii="Garamond" w:hAnsi="Garamond"/>
        <w:b/>
        <w:color w:val="A6A6A6" w:themeColor="background1" w:themeShade="A6"/>
        <w:sz w:val="21"/>
        <w:szCs w:val="21"/>
      </w:rPr>
    </w:pPr>
    <w:r w:rsidRPr="001135D6">
      <w:rPr>
        <w:rFonts w:ascii="Garamond" w:hAnsi="Garamond"/>
        <w:b/>
        <w:color w:val="A6A6A6" w:themeColor="background1" w:themeShade="A6"/>
        <w:sz w:val="21"/>
        <w:szCs w:val="21"/>
      </w:rPr>
      <w:t>(Note that this example is not specific to a specific sector/initiative area.)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FBD"/>
    <w:rsid w:val="00076539"/>
    <w:rsid w:val="0009149C"/>
    <w:rsid w:val="000F37B2"/>
    <w:rsid w:val="000F50FD"/>
    <w:rsid w:val="001135D6"/>
    <w:rsid w:val="00307834"/>
    <w:rsid w:val="00351D67"/>
    <w:rsid w:val="006764E3"/>
    <w:rsid w:val="00B07213"/>
    <w:rsid w:val="00B745AE"/>
    <w:rsid w:val="00BA3FBD"/>
    <w:rsid w:val="00EA3E95"/>
    <w:rsid w:val="00FE39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C4EF4"/>
  <w15:docId w15:val="{270A447D-36DE-E542-B7BB-000E69AAD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FE39FE"/>
    <w:pPr>
      <w:spacing w:line="240" w:lineRule="auto"/>
    </w:pPr>
  </w:style>
  <w:style w:type="paragraph" w:styleId="Header">
    <w:name w:val="header"/>
    <w:basedOn w:val="Normal"/>
    <w:link w:val="HeaderChar"/>
    <w:uiPriority w:val="99"/>
    <w:unhideWhenUsed/>
    <w:rsid w:val="00FE39FE"/>
    <w:pPr>
      <w:tabs>
        <w:tab w:val="center" w:pos="4680"/>
        <w:tab w:val="right" w:pos="9360"/>
      </w:tabs>
      <w:spacing w:line="240" w:lineRule="auto"/>
    </w:pPr>
  </w:style>
  <w:style w:type="character" w:customStyle="1" w:styleId="HeaderChar">
    <w:name w:val="Header Char"/>
    <w:basedOn w:val="DefaultParagraphFont"/>
    <w:link w:val="Header"/>
    <w:uiPriority w:val="99"/>
    <w:rsid w:val="00FE39FE"/>
  </w:style>
  <w:style w:type="paragraph" w:styleId="Footer">
    <w:name w:val="footer"/>
    <w:basedOn w:val="Normal"/>
    <w:link w:val="FooterChar"/>
    <w:uiPriority w:val="99"/>
    <w:unhideWhenUsed/>
    <w:rsid w:val="00FE39FE"/>
    <w:pPr>
      <w:tabs>
        <w:tab w:val="center" w:pos="4680"/>
        <w:tab w:val="right" w:pos="9360"/>
      </w:tabs>
      <w:spacing w:line="240" w:lineRule="auto"/>
    </w:pPr>
  </w:style>
  <w:style w:type="character" w:customStyle="1" w:styleId="FooterChar">
    <w:name w:val="Footer Char"/>
    <w:basedOn w:val="DefaultParagraphFont"/>
    <w:link w:val="Footer"/>
    <w:uiPriority w:val="99"/>
    <w:rsid w:val="00FE39FE"/>
  </w:style>
  <w:style w:type="paragraph" w:styleId="CommentSubject">
    <w:name w:val="annotation subject"/>
    <w:basedOn w:val="CommentText"/>
    <w:next w:val="CommentText"/>
    <w:link w:val="CommentSubjectChar"/>
    <w:uiPriority w:val="99"/>
    <w:semiHidden/>
    <w:unhideWhenUsed/>
    <w:rsid w:val="00FE39FE"/>
    <w:rPr>
      <w:b/>
      <w:bCs/>
    </w:rPr>
  </w:style>
  <w:style w:type="character" w:customStyle="1" w:styleId="CommentSubjectChar">
    <w:name w:val="Comment Subject Char"/>
    <w:basedOn w:val="CommentTextChar"/>
    <w:link w:val="CommentSubject"/>
    <w:uiPriority w:val="99"/>
    <w:semiHidden/>
    <w:rsid w:val="00FE39F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A6DA97-D250-E243-9086-9F1AA1EF3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3599</Words>
  <Characters>20520</Characters>
  <Application>Microsoft Office Word</Application>
  <DocSecurity>0</DocSecurity>
  <Lines>171</Lines>
  <Paragraphs>48</Paragraphs>
  <ScaleCrop>false</ScaleCrop>
  <Company/>
  <LinksUpToDate>false</LinksUpToDate>
  <CharactersWithSpaces>24071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Michaela Chua</cp:lastModifiedBy>
  <cp:revision>2</cp:revision>
  <cp:lastPrinted>2025-09-04T15:26:00Z</cp:lastPrinted>
  <dcterms:created xsi:type="dcterms:W3CDTF">2026-03-02T15:07:00Z</dcterms:created>
  <dcterms:modified xsi:type="dcterms:W3CDTF">2026-03-02T15:07:00Z</dcterms:modified>
</cp:coreProperties>
</file>