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D2A6" w14:textId="77777777" w:rsidR="002A22CA" w:rsidRDefault="001D4538">
      <w:pPr>
        <w:spacing w:after="0" w:line="240"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t>Gender and Economic Agency Initiative Application Form and Instructions</w:t>
      </w:r>
    </w:p>
    <w:p w14:paraId="063415AE" w14:textId="551A9ADA" w:rsidR="002A22CA" w:rsidRDefault="001D4538">
      <w:pPr>
        <w:spacing w:after="0" w:line="240" w:lineRule="auto"/>
        <w:rPr>
          <w:rFonts w:ascii="Century Gothic" w:eastAsia="Century Gothic" w:hAnsi="Century Gothic" w:cs="Century Gothic"/>
          <w:i/>
          <w:color w:val="ED7D31"/>
          <w:sz w:val="26"/>
          <w:szCs w:val="26"/>
        </w:rPr>
      </w:pPr>
      <w:r>
        <w:rPr>
          <w:rFonts w:ascii="Century Gothic" w:eastAsia="Century Gothic" w:hAnsi="Century Gothic" w:cs="Century Gothic"/>
          <w:i/>
          <w:sz w:val="26"/>
          <w:szCs w:val="26"/>
        </w:rPr>
        <w:t xml:space="preserve">Travel/Proposal Development Grants: Round </w:t>
      </w:r>
      <w:r w:rsidR="000F6BD9">
        <w:rPr>
          <w:rFonts w:ascii="Century Gothic" w:eastAsia="Century Gothic" w:hAnsi="Century Gothic" w:cs="Century Gothic"/>
          <w:i/>
          <w:sz w:val="26"/>
          <w:szCs w:val="26"/>
        </w:rPr>
        <w:t>3</w:t>
      </w:r>
      <w:r>
        <w:rPr>
          <w:rFonts w:ascii="Century Gothic" w:eastAsia="Century Gothic" w:hAnsi="Century Gothic" w:cs="Century Gothic"/>
          <w:i/>
          <w:sz w:val="26"/>
          <w:szCs w:val="26"/>
        </w:rPr>
        <w:t xml:space="preserve"> (</w:t>
      </w:r>
      <w:r w:rsidR="000F6BD9">
        <w:rPr>
          <w:rFonts w:ascii="Century Gothic" w:eastAsia="Century Gothic" w:hAnsi="Century Gothic" w:cs="Century Gothic"/>
          <w:i/>
          <w:sz w:val="26"/>
          <w:szCs w:val="26"/>
        </w:rPr>
        <w:t>Winter 2022</w:t>
      </w:r>
      <w:r>
        <w:rPr>
          <w:rFonts w:ascii="Century Gothic" w:eastAsia="Century Gothic" w:hAnsi="Century Gothic" w:cs="Century Gothic"/>
          <w:i/>
          <w:sz w:val="26"/>
          <w:szCs w:val="26"/>
        </w:rPr>
        <w:t>)</w:t>
      </w:r>
    </w:p>
    <w:p w14:paraId="173072DB" w14:textId="77777777" w:rsidR="002A22CA" w:rsidRDefault="002A22CA">
      <w:pPr>
        <w:spacing w:after="0" w:line="240" w:lineRule="auto"/>
        <w:rPr>
          <w:rFonts w:ascii="Libre Baskerville" w:eastAsia="Libre Baskerville" w:hAnsi="Libre Baskerville" w:cs="Libre Baskerville"/>
          <w:b/>
          <w:sz w:val="26"/>
          <w:szCs w:val="26"/>
        </w:rPr>
      </w:pPr>
    </w:p>
    <w:p w14:paraId="38B2E957" w14:textId="77777777" w:rsidR="002A22CA" w:rsidRDefault="001D4538">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Instructions </w:t>
      </w:r>
    </w:p>
    <w:p w14:paraId="0E19DB93" w14:textId="228C778C" w:rsidR="00863856" w:rsidRPr="00863856" w:rsidRDefault="00863856" w:rsidP="00863856">
      <w:pPr>
        <w:spacing w:line="240" w:lineRule="auto"/>
        <w:rPr>
          <w:rFonts w:ascii="Perpetua" w:eastAsia="Cambria" w:hAnsi="Perpetua" w:cs="Cambria"/>
          <w:sz w:val="26"/>
          <w:szCs w:val="26"/>
        </w:rPr>
      </w:pPr>
      <w:r w:rsidRPr="00863856">
        <w:rPr>
          <w:rFonts w:ascii="Perpetua" w:eastAsia="Cambria" w:hAnsi="Perpetua" w:cs="Cambria"/>
          <w:sz w:val="26"/>
          <w:szCs w:val="26"/>
        </w:rPr>
        <w:t>All J-PAL initiatives</w:t>
      </w:r>
      <w:r w:rsidR="000F6BD9">
        <w:rPr>
          <w:rFonts w:ascii="Perpetua" w:eastAsia="Cambria" w:hAnsi="Perpetua" w:cs="Cambria"/>
          <w:sz w:val="26"/>
          <w:szCs w:val="26"/>
        </w:rPr>
        <w:t xml:space="preserve"> </w:t>
      </w:r>
      <w:r w:rsidRPr="00863856">
        <w:rPr>
          <w:rFonts w:ascii="Perpetua" w:eastAsia="Cambria" w:hAnsi="Perpetua" w:cs="Cambria"/>
          <w:sz w:val="26"/>
          <w:szCs w:val="26"/>
        </w:rPr>
        <w:t xml:space="preserve">use an online portal for all application submissions, proposal reviews, invoice submission, and grantee reporting. After submitting a letter of interest, the GEA team will notify you via the portal once we have reviewed your LOI and you are clear to begin your proposal. </w:t>
      </w:r>
    </w:p>
    <w:p w14:paraId="11095951" w14:textId="1AF379EF" w:rsidR="00863856" w:rsidRPr="00863856" w:rsidRDefault="00863856" w:rsidP="00863856">
      <w:pPr>
        <w:spacing w:line="240" w:lineRule="auto"/>
        <w:rPr>
          <w:rFonts w:ascii="Perpetua" w:eastAsia="Cambria" w:hAnsi="Perpetua" w:cs="Cambria"/>
          <w:sz w:val="26"/>
          <w:szCs w:val="26"/>
        </w:rPr>
      </w:pPr>
      <w:r w:rsidRPr="00863856">
        <w:rPr>
          <w:rFonts w:ascii="Perpetua" w:eastAsia="Cambria" w:hAnsi="Perpetua" w:cs="Cambria"/>
          <w:sz w:val="26"/>
          <w:szCs w:val="26"/>
        </w:rPr>
        <w:t xml:space="preserve">In the interim, to facilitate your proposal development, we have hosted reference application documents below that outline in detail all required information that applicants will be asked when submitting a proposal to GEA via our online portal system. You are welcome to begin drafting your proposal materials using these templates. </w:t>
      </w:r>
      <w:r w:rsidR="000F6BD9" w:rsidRPr="000F6BD9">
        <w:rPr>
          <w:rFonts w:ascii="Perpetua" w:eastAsia="Cambria" w:hAnsi="Perpetua" w:cs="Cambria"/>
          <w:b/>
          <w:bCs/>
          <w:sz w:val="26"/>
          <w:szCs w:val="26"/>
        </w:rPr>
        <w:t>PLEASE, HOWEVER, DO NOT COMPLETE OR SUBMIT THESE REFERENCE DOCUMENTS TO GEA FOR CONSIDERATION.</w:t>
      </w:r>
    </w:p>
    <w:p w14:paraId="2EB433C5" w14:textId="2F51ECDB" w:rsidR="00863856" w:rsidRPr="00863856" w:rsidRDefault="00863856" w:rsidP="00863856">
      <w:pPr>
        <w:spacing w:after="0" w:line="240" w:lineRule="auto"/>
        <w:rPr>
          <w:rFonts w:ascii="Perpetua" w:eastAsia="Libre Baskerville" w:hAnsi="Perpetua" w:cs="Libre Baskerville"/>
          <w:sz w:val="26"/>
          <w:szCs w:val="26"/>
        </w:rPr>
      </w:pPr>
      <w:r w:rsidRPr="00863856">
        <w:rPr>
          <w:rFonts w:ascii="Perpetua" w:eastAsia="Libre Baskerville" w:hAnsi="Perpetua" w:cs="Libre Baskerville"/>
          <w:sz w:val="26"/>
          <w:szCs w:val="26"/>
        </w:rPr>
        <w:t xml:space="preserve">Proposals for GEA research funding for </w:t>
      </w:r>
      <w:r>
        <w:rPr>
          <w:rFonts w:ascii="Perpetua" w:eastAsia="Libre Baskerville" w:hAnsi="Perpetua" w:cs="Libre Baskerville"/>
          <w:sz w:val="26"/>
          <w:szCs w:val="26"/>
        </w:rPr>
        <w:t>travel/proposal development grants</w:t>
      </w:r>
      <w:r w:rsidRPr="00863856">
        <w:rPr>
          <w:rFonts w:ascii="Perpetua" w:eastAsia="Libre Baskerville" w:hAnsi="Perpetua" w:cs="Libre Baskerville"/>
          <w:sz w:val="26"/>
          <w:szCs w:val="26"/>
        </w:rPr>
        <w:t xml:space="preserve"> consist of (</w:t>
      </w:r>
      <w:proofErr w:type="spellStart"/>
      <w:r w:rsidRPr="00863856">
        <w:rPr>
          <w:rFonts w:ascii="Perpetua" w:eastAsia="Libre Baskerville" w:hAnsi="Perpetua" w:cs="Libre Baskerville"/>
          <w:sz w:val="26"/>
          <w:szCs w:val="26"/>
        </w:rPr>
        <w:t>i</w:t>
      </w:r>
      <w:proofErr w:type="spellEnd"/>
      <w:r w:rsidRPr="00863856">
        <w:rPr>
          <w:rFonts w:ascii="Perpetua" w:eastAsia="Libre Baskerville" w:hAnsi="Perpetua" w:cs="Libre Baskerville"/>
          <w:sz w:val="26"/>
          <w:szCs w:val="26"/>
        </w:rPr>
        <w:t>) a proposal narrative; (ii) a budget form; and (iii) letters of support.</w:t>
      </w:r>
      <w:r w:rsidRPr="00863856">
        <w:rPr>
          <w:rFonts w:ascii="Perpetua" w:eastAsia="Libre Baskerville" w:hAnsi="Perpetua" w:cs="Libre Baskerville"/>
          <w:sz w:val="26"/>
          <w:szCs w:val="26"/>
          <w:vertAlign w:val="superscript"/>
        </w:rPr>
        <w:footnoteReference w:id="1"/>
      </w:r>
      <w:r w:rsidRPr="00863856">
        <w:rPr>
          <w:rFonts w:ascii="Perpetua" w:eastAsia="Libre Baskerville" w:hAnsi="Perpetua" w:cs="Libre Baskerville"/>
          <w:sz w:val="26"/>
          <w:szCs w:val="26"/>
        </w:rPr>
        <w:t xml:space="preserve"> These materials should be submitted</w:t>
      </w:r>
      <w:r w:rsidR="000F6BD9">
        <w:rPr>
          <w:rFonts w:ascii="Perpetua" w:eastAsia="Libre Baskerville" w:hAnsi="Perpetua" w:cs="Libre Baskerville"/>
          <w:sz w:val="26"/>
          <w:szCs w:val="26"/>
        </w:rPr>
        <w:t xml:space="preserve"> via the online portal</w:t>
      </w:r>
      <w:r w:rsidRPr="00863856">
        <w:rPr>
          <w:rFonts w:ascii="Perpetua" w:eastAsia="Libre Baskerville" w:hAnsi="Perpetua" w:cs="Libre Baskerville"/>
          <w:sz w:val="26"/>
          <w:szCs w:val="26"/>
        </w:rPr>
        <w:t xml:space="preserve"> by </w:t>
      </w:r>
      <w:r w:rsidR="000F6BD9">
        <w:rPr>
          <w:rFonts w:ascii="Perpetua" w:eastAsia="Libre Baskerville" w:hAnsi="Perpetua" w:cs="Libre Baskerville"/>
          <w:b/>
          <w:sz w:val="26"/>
          <w:szCs w:val="26"/>
          <w:u w:val="single"/>
        </w:rPr>
        <w:t>8</w:t>
      </w:r>
      <w:r w:rsidRPr="00863856">
        <w:rPr>
          <w:rFonts w:ascii="Perpetua" w:eastAsia="Libre Baskerville" w:hAnsi="Perpetua" w:cs="Libre Baskerville"/>
          <w:b/>
          <w:sz w:val="26"/>
          <w:szCs w:val="26"/>
          <w:u w:val="single"/>
        </w:rPr>
        <w:t xml:space="preserve">:59 p.m. ET on </w:t>
      </w:r>
      <w:r w:rsidR="000F6BD9">
        <w:rPr>
          <w:rFonts w:ascii="Perpetua" w:eastAsia="Libre Baskerville" w:hAnsi="Perpetua" w:cs="Libre Baskerville"/>
          <w:b/>
          <w:sz w:val="26"/>
          <w:szCs w:val="26"/>
          <w:u w:val="single"/>
        </w:rPr>
        <w:t>Monday, April 11</w:t>
      </w:r>
      <w:r w:rsidRPr="00863856">
        <w:rPr>
          <w:rFonts w:ascii="Perpetua" w:eastAsia="Libre Baskerville" w:hAnsi="Perpetua" w:cs="Libre Baskerville"/>
          <w:b/>
          <w:sz w:val="26"/>
          <w:szCs w:val="26"/>
          <w:u w:val="single"/>
        </w:rPr>
        <w:t>, 202</w:t>
      </w:r>
      <w:r w:rsidR="000F6BD9">
        <w:rPr>
          <w:rFonts w:ascii="Perpetua" w:eastAsia="Libre Baskerville" w:hAnsi="Perpetua" w:cs="Libre Baskerville"/>
          <w:b/>
          <w:sz w:val="26"/>
          <w:szCs w:val="26"/>
          <w:u w:val="single"/>
        </w:rPr>
        <w:t>2</w:t>
      </w:r>
      <w:r w:rsidRPr="00863856">
        <w:rPr>
          <w:rFonts w:ascii="Perpetua" w:eastAsia="Libre Baskerville" w:hAnsi="Perpetua" w:cs="Libre Baskerville"/>
          <w:b/>
          <w:sz w:val="26"/>
          <w:szCs w:val="26"/>
          <w:u w:val="single"/>
        </w:rPr>
        <w:t>.</w:t>
      </w:r>
    </w:p>
    <w:p w14:paraId="322E1F5E" w14:textId="77777777" w:rsidR="002A22CA" w:rsidRDefault="002A22CA">
      <w:pPr>
        <w:spacing w:after="0" w:line="240" w:lineRule="auto"/>
        <w:rPr>
          <w:rFonts w:ascii="Libre Baskerville" w:eastAsia="Libre Baskerville" w:hAnsi="Libre Baskerville" w:cs="Libre Baskerville"/>
          <w:sz w:val="26"/>
          <w:szCs w:val="26"/>
        </w:rPr>
      </w:pPr>
    </w:p>
    <w:p w14:paraId="2E762401" w14:textId="77777777" w:rsidR="002A22CA" w:rsidRDefault="001D4538">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Narrative </w:t>
      </w:r>
    </w:p>
    <w:p w14:paraId="1BA7BFC4" w14:textId="1866A26C" w:rsidR="00863856" w:rsidRDefault="00863856" w:rsidP="00863856">
      <w:pPr>
        <w:spacing w:after="0"/>
        <w:rPr>
          <w:rFonts w:ascii="Perpetua" w:eastAsia="Libre Baskerville" w:hAnsi="Perpetua" w:cs="Libre Baskerville"/>
          <w:sz w:val="26"/>
          <w:szCs w:val="26"/>
        </w:rPr>
      </w:pPr>
      <w:r>
        <w:rPr>
          <w:rFonts w:ascii="Perpetua" w:eastAsia="Libre Baskerville" w:hAnsi="Perpetua" w:cs="Libre Baskerville"/>
          <w:sz w:val="26"/>
          <w:szCs w:val="26"/>
        </w:rPr>
        <w:t xml:space="preserve">Responses to the online portal’s application questions </w:t>
      </w:r>
      <w:r w:rsidRPr="0038281D">
        <w:rPr>
          <w:rFonts w:ascii="Perpetua" w:eastAsia="Libre Baskerville" w:hAnsi="Perpetua" w:cs="Libre Baskerville"/>
          <w:sz w:val="26"/>
          <w:szCs w:val="26"/>
        </w:rPr>
        <w:t xml:space="preserve">should not exceed </w:t>
      </w:r>
      <w:r>
        <w:rPr>
          <w:rFonts w:ascii="Perpetua" w:eastAsia="Libre Baskerville" w:hAnsi="Perpetua" w:cs="Libre Baskerville"/>
          <w:sz w:val="26"/>
          <w:szCs w:val="26"/>
        </w:rPr>
        <w:t>two</w:t>
      </w:r>
      <w:r w:rsidRPr="0038281D">
        <w:rPr>
          <w:rFonts w:ascii="Perpetua" w:eastAsia="Libre Baskerville" w:hAnsi="Perpetua" w:cs="Libre Baskerville"/>
          <w:sz w:val="26"/>
          <w:szCs w:val="26"/>
        </w:rPr>
        <w:t xml:space="preserve"> pages in </w:t>
      </w:r>
      <w:r>
        <w:rPr>
          <w:rFonts w:ascii="Perpetua" w:eastAsia="Libre Baskerville" w:hAnsi="Perpetua" w:cs="Libre Baskerville"/>
          <w:sz w:val="26"/>
          <w:szCs w:val="26"/>
        </w:rPr>
        <w:t>total</w:t>
      </w:r>
      <w:r w:rsidRPr="0038281D">
        <w:rPr>
          <w:rFonts w:ascii="Perpetua" w:eastAsia="Libre Baskerville" w:hAnsi="Perpetua" w:cs="Libre Baskerville"/>
          <w:sz w:val="26"/>
          <w:szCs w:val="26"/>
        </w:rPr>
        <w:t xml:space="preserve">, including appendices. It should include: </w:t>
      </w:r>
    </w:p>
    <w:p w14:paraId="0C5DFF43" w14:textId="0114584A" w:rsidR="00863856" w:rsidRPr="00F92077" w:rsidRDefault="00863856" w:rsidP="00863856">
      <w:pPr>
        <w:numPr>
          <w:ilvl w:val="0"/>
          <w:numId w:val="2"/>
        </w:numPr>
        <w:spacing w:after="0" w:line="240" w:lineRule="auto"/>
        <w:rPr>
          <w:rFonts w:ascii="Perpetua" w:eastAsia="Libre Baskerville" w:hAnsi="Perpetua" w:cs="Libre Baskerville"/>
          <w:sz w:val="26"/>
          <w:szCs w:val="26"/>
        </w:rPr>
      </w:pPr>
      <w:r w:rsidRPr="00F92077">
        <w:rPr>
          <w:rFonts w:ascii="Perpetua" w:eastAsia="Libre Baskerville" w:hAnsi="Perpetua" w:cs="Libre Baskerville"/>
          <w:sz w:val="26"/>
          <w:szCs w:val="26"/>
        </w:rPr>
        <w:t>A 100-word abstract of the study,</w:t>
      </w:r>
      <w:r w:rsidRPr="00F92077">
        <w:rPr>
          <w:rFonts w:ascii="Perpetua" w:eastAsia="Libre Baskerville" w:hAnsi="Perpetua" w:cs="Libre Baskerville"/>
          <w:b/>
          <w:sz w:val="26"/>
          <w:szCs w:val="26"/>
        </w:rPr>
        <w:t xml:space="preserve"> </w:t>
      </w:r>
      <w:r w:rsidRPr="00F92077">
        <w:rPr>
          <w:rFonts w:ascii="Perpetua" w:eastAsia="Libre Baskerville" w:hAnsi="Perpetua" w:cs="Libre Baskerville"/>
          <w:sz w:val="26"/>
          <w:szCs w:val="26"/>
        </w:rPr>
        <w:t xml:space="preserve">which will be added to the </w:t>
      </w:r>
      <w:hyperlink r:id="rId8">
        <w:r w:rsidRPr="00F92077">
          <w:rPr>
            <w:rFonts w:ascii="Perpetua" w:eastAsia="Libre Baskerville" w:hAnsi="Perpetua" w:cs="Libre Baskerville"/>
            <w:color w:val="1155CC"/>
            <w:sz w:val="26"/>
            <w:szCs w:val="26"/>
            <w:u w:val="single"/>
          </w:rPr>
          <w:t>GEA webpage</w:t>
        </w:r>
      </w:hyperlink>
      <w:r w:rsidRPr="00F92077">
        <w:rPr>
          <w:rFonts w:ascii="Perpetua" w:eastAsia="Libre Baskerville" w:hAnsi="Perpetua" w:cs="Libre Baskerville"/>
          <w:sz w:val="26"/>
          <w:szCs w:val="26"/>
        </w:rPr>
        <w:t xml:space="preserve"> if the project receives funding.</w:t>
      </w:r>
    </w:p>
    <w:p w14:paraId="653A39FC" w14:textId="71350217" w:rsidR="002A22CA" w:rsidRPr="00BF254E" w:rsidRDefault="001D4538">
      <w:pPr>
        <w:numPr>
          <w:ilvl w:val="0"/>
          <w:numId w:val="2"/>
        </w:numPr>
        <w:spacing w:after="0" w:line="240" w:lineRule="auto"/>
        <w:rPr>
          <w:rFonts w:ascii="Perpetua" w:eastAsia="Libre Baskerville" w:hAnsi="Perpetua" w:cs="Libre Baskerville"/>
          <w:sz w:val="26"/>
          <w:szCs w:val="26"/>
        </w:rPr>
      </w:pPr>
      <w:r w:rsidRPr="00BF254E">
        <w:rPr>
          <w:rFonts w:ascii="Perpetua" w:eastAsia="Libre Baskerville" w:hAnsi="Perpetua" w:cs="Libre Baskerville"/>
          <w:sz w:val="26"/>
          <w:szCs w:val="26"/>
        </w:rPr>
        <w:t>A concise statement of topic</w:t>
      </w:r>
      <w:r w:rsidR="00863856">
        <w:rPr>
          <w:rFonts w:ascii="Perpetua" w:eastAsia="Libre Baskerville" w:hAnsi="Perpetua" w:cs="Libre Baskerville"/>
          <w:sz w:val="26"/>
          <w:szCs w:val="26"/>
        </w:rPr>
        <w:t xml:space="preserve">. </w:t>
      </w:r>
      <w:r w:rsidRPr="00BF254E">
        <w:rPr>
          <w:rFonts w:ascii="Perpetua" w:eastAsia="Libre Baskerville" w:hAnsi="Perpetua" w:cs="Libre Baskerville"/>
          <w:sz w:val="26"/>
          <w:szCs w:val="26"/>
        </w:rPr>
        <w:t xml:space="preserve">These grants are intended to facilitate PI travel for very preliminary, exploratory research, so proposals need only address the general topic of interest and current ideas on how the question might be explored </w:t>
      </w:r>
      <w:r w:rsidRPr="00BF254E">
        <w:rPr>
          <w:rFonts w:ascii="Perpetua" w:eastAsia="Libre Baskerville" w:hAnsi="Perpetua" w:cs="Libre Baskerville"/>
          <w:sz w:val="26"/>
          <w:szCs w:val="26"/>
          <w:u w:val="single"/>
        </w:rPr>
        <w:t>through a randomized evaluation</w:t>
      </w:r>
      <w:r w:rsidRPr="00BF254E">
        <w:rPr>
          <w:rFonts w:ascii="Perpetua" w:eastAsia="Libre Baskerville" w:hAnsi="Perpetua" w:cs="Libre Baskerville"/>
          <w:sz w:val="26"/>
          <w:szCs w:val="26"/>
        </w:rPr>
        <w:t>. They do not need to include a detailed program or evaluation design.</w:t>
      </w:r>
    </w:p>
    <w:p w14:paraId="05CF7874" w14:textId="77777777" w:rsidR="002A22CA" w:rsidRPr="00BF254E" w:rsidRDefault="001D4538">
      <w:pPr>
        <w:numPr>
          <w:ilvl w:val="0"/>
          <w:numId w:val="2"/>
        </w:numPr>
        <w:pBdr>
          <w:top w:val="nil"/>
          <w:left w:val="nil"/>
          <w:bottom w:val="nil"/>
          <w:right w:val="nil"/>
          <w:between w:val="nil"/>
        </w:pBdr>
        <w:spacing w:after="0" w:line="240" w:lineRule="auto"/>
        <w:rPr>
          <w:rFonts w:ascii="Perpetua" w:eastAsia="Libre Baskerville" w:hAnsi="Perpetua" w:cs="Libre Baskerville"/>
          <w:color w:val="000000"/>
          <w:sz w:val="26"/>
          <w:szCs w:val="26"/>
        </w:rPr>
      </w:pPr>
      <w:r w:rsidRPr="00BF254E">
        <w:rPr>
          <w:rFonts w:ascii="Perpetua" w:eastAsia="Libre Baskerville" w:hAnsi="Perpetua" w:cs="Libre Baskerville"/>
          <w:color w:val="000000"/>
          <w:sz w:val="26"/>
          <w:szCs w:val="26"/>
        </w:rPr>
        <w:t>Proposed partners, if available, including J-PAL regional offices, IPA country offices, or other organizations you plan to work with for both program implementation and evaluation.</w:t>
      </w:r>
    </w:p>
    <w:p w14:paraId="034CAFF1" w14:textId="37DEF635" w:rsidR="002A22CA" w:rsidRDefault="001D4538">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BF254E">
        <w:rPr>
          <w:rFonts w:ascii="Perpetua" w:eastAsia="Libre Baskerville" w:hAnsi="Perpetua" w:cs="Libre Baskerville"/>
          <w:color w:val="000000"/>
          <w:sz w:val="26"/>
          <w:szCs w:val="26"/>
        </w:rPr>
        <w:t>A discussion of the project’s connection to research topics outlined in </w:t>
      </w:r>
      <w:hyperlink r:id="rId9">
        <w:r w:rsidRPr="00BF254E">
          <w:rPr>
            <w:rFonts w:ascii="Perpetua" w:eastAsia="Libre Baskerville" w:hAnsi="Perpetua" w:cs="Libre Baskerville"/>
            <w:color w:val="0000FF"/>
            <w:sz w:val="26"/>
            <w:szCs w:val="26"/>
            <w:u w:val="single"/>
          </w:rPr>
          <w:t>GEA’s framing paper</w:t>
        </w:r>
      </w:hyperlink>
      <w:r w:rsidRPr="00BF254E">
        <w:rPr>
          <w:rFonts w:ascii="Perpetua" w:eastAsia="Libre Baskerville" w:hAnsi="Perpetua" w:cs="Libre Baskerville"/>
          <w:color w:val="000000"/>
          <w:sz w:val="26"/>
          <w:szCs w:val="26"/>
        </w:rPr>
        <w:t>.</w:t>
      </w:r>
    </w:p>
    <w:p w14:paraId="30067410" w14:textId="77777777" w:rsidR="002A22CA" w:rsidRPr="00BF254E" w:rsidRDefault="001D4538">
      <w:pPr>
        <w:numPr>
          <w:ilvl w:val="0"/>
          <w:numId w:val="2"/>
        </w:numPr>
        <w:pBdr>
          <w:top w:val="nil"/>
          <w:left w:val="nil"/>
          <w:bottom w:val="nil"/>
          <w:right w:val="nil"/>
          <w:between w:val="nil"/>
        </w:pBdr>
        <w:spacing w:after="0" w:line="240" w:lineRule="auto"/>
        <w:rPr>
          <w:rFonts w:ascii="Perpetua" w:eastAsia="Libre Baskerville" w:hAnsi="Perpetua" w:cs="Libre Baskerville"/>
          <w:color w:val="000000"/>
          <w:sz w:val="26"/>
          <w:szCs w:val="26"/>
        </w:rPr>
      </w:pPr>
      <w:r w:rsidRPr="00BF254E">
        <w:rPr>
          <w:rFonts w:ascii="Perpetua" w:eastAsia="Libre Baskerville" w:hAnsi="Perpetua" w:cs="Libre Baskerville"/>
          <w:color w:val="000000"/>
          <w:sz w:val="26"/>
          <w:szCs w:val="26"/>
        </w:rPr>
        <w:t xml:space="preserve">In approximately half a page, please: </w:t>
      </w:r>
    </w:p>
    <w:p w14:paraId="029F568C" w14:textId="77777777" w:rsidR="002A22CA" w:rsidRPr="00BF254E" w:rsidRDefault="001D4538">
      <w:pPr>
        <w:numPr>
          <w:ilvl w:val="1"/>
          <w:numId w:val="1"/>
        </w:numPr>
        <w:pBdr>
          <w:top w:val="nil"/>
          <w:left w:val="nil"/>
          <w:bottom w:val="nil"/>
          <w:right w:val="nil"/>
          <w:between w:val="nil"/>
        </w:pBdr>
        <w:spacing w:after="0" w:line="240" w:lineRule="auto"/>
        <w:rPr>
          <w:rFonts w:ascii="Perpetua" w:eastAsia="Libre Baskerville" w:hAnsi="Perpetua" w:cs="Libre Baskerville"/>
          <w:color w:val="000000"/>
          <w:sz w:val="26"/>
          <w:szCs w:val="26"/>
        </w:rPr>
      </w:pPr>
      <w:r w:rsidRPr="00BF254E">
        <w:rPr>
          <w:rFonts w:ascii="Perpetua" w:eastAsia="Libre Baskerville" w:hAnsi="Perpetua" w:cs="Libre Baskerville"/>
          <w:color w:val="000000"/>
          <w:sz w:val="26"/>
          <w:szCs w:val="26"/>
        </w:rPr>
        <w:t>Note any elements of the proposal that relate to COVID-19;</w:t>
      </w:r>
    </w:p>
    <w:p w14:paraId="35C7DCFA" w14:textId="77777777" w:rsidR="002A22CA" w:rsidRPr="00BF254E" w:rsidRDefault="001D4538">
      <w:pPr>
        <w:numPr>
          <w:ilvl w:val="1"/>
          <w:numId w:val="1"/>
        </w:numPr>
        <w:pBdr>
          <w:top w:val="nil"/>
          <w:left w:val="nil"/>
          <w:bottom w:val="nil"/>
          <w:right w:val="nil"/>
          <w:between w:val="nil"/>
        </w:pBdr>
        <w:spacing w:after="0" w:line="240" w:lineRule="auto"/>
        <w:rPr>
          <w:rFonts w:ascii="Perpetua" w:eastAsia="Libre Baskerville" w:hAnsi="Perpetua" w:cs="Libre Baskerville"/>
          <w:color w:val="000000"/>
          <w:sz w:val="26"/>
          <w:szCs w:val="26"/>
        </w:rPr>
      </w:pPr>
      <w:r w:rsidRPr="00BF254E">
        <w:rPr>
          <w:rFonts w:ascii="Perpetua" w:eastAsia="Libre Baskerville" w:hAnsi="Perpetua" w:cs="Libre Baskerville"/>
          <w:color w:val="000000"/>
          <w:sz w:val="26"/>
          <w:szCs w:val="26"/>
        </w:rPr>
        <w:t xml:space="preserve">Describe to what extent any findings from your exploratory research may be generalizable beyond a COVID-19 context;  </w:t>
      </w:r>
    </w:p>
    <w:p w14:paraId="4F752B6D" w14:textId="4836252D" w:rsidR="002A22CA" w:rsidRDefault="001D4538">
      <w:pPr>
        <w:numPr>
          <w:ilvl w:val="1"/>
          <w:numId w:val="1"/>
        </w:numPr>
        <w:pBdr>
          <w:top w:val="nil"/>
          <w:left w:val="nil"/>
          <w:bottom w:val="nil"/>
          <w:right w:val="nil"/>
          <w:between w:val="nil"/>
        </w:pBdr>
        <w:spacing w:after="0" w:line="240" w:lineRule="auto"/>
        <w:rPr>
          <w:rFonts w:ascii="Perpetua" w:eastAsia="Libre Baskerville" w:hAnsi="Perpetua" w:cs="Libre Baskerville"/>
          <w:color w:val="000000"/>
          <w:sz w:val="26"/>
          <w:szCs w:val="26"/>
        </w:rPr>
      </w:pPr>
      <w:r w:rsidRPr="00BF254E">
        <w:rPr>
          <w:rFonts w:ascii="Perpetua" w:eastAsia="Libre Baskerville" w:hAnsi="Perpetua" w:cs="Libre Baskerville"/>
          <w:color w:val="000000"/>
          <w:sz w:val="26"/>
          <w:szCs w:val="26"/>
        </w:rPr>
        <w:lastRenderedPageBreak/>
        <w:t>Describe any COVID-related risks to the feasibility of your travel and how you will prepare for and mitigate these risks.</w:t>
      </w:r>
    </w:p>
    <w:p w14:paraId="3E288A0B" w14:textId="6A52D324" w:rsidR="00863856" w:rsidRPr="00F92077" w:rsidRDefault="00863856" w:rsidP="00863856">
      <w:pPr>
        <w:numPr>
          <w:ilvl w:val="0"/>
          <w:numId w:val="6"/>
        </w:numPr>
        <w:pBdr>
          <w:top w:val="nil"/>
          <w:left w:val="nil"/>
          <w:bottom w:val="nil"/>
          <w:right w:val="nil"/>
          <w:between w:val="nil"/>
        </w:pBdr>
        <w:spacing w:after="0" w:line="240" w:lineRule="auto"/>
        <w:rPr>
          <w:rFonts w:ascii="Perpetua" w:eastAsia="Libre Baskerville" w:hAnsi="Perpetua" w:cs="Libre Baskerville"/>
          <w:color w:val="000000"/>
          <w:sz w:val="26"/>
          <w:szCs w:val="26"/>
        </w:rPr>
      </w:pPr>
      <w:r w:rsidRPr="00F92077">
        <w:rPr>
          <w:rFonts w:ascii="Perpetua" w:hAnsi="Perpetua" w:cs="Arial"/>
          <w:color w:val="222222"/>
          <w:sz w:val="26"/>
          <w:szCs w:val="26"/>
          <w:shd w:val="clear" w:color="auto" w:fill="FFFFFF"/>
        </w:rPr>
        <w:t>Potential </w:t>
      </w:r>
      <w:r w:rsidRPr="00F92077">
        <w:rPr>
          <w:rStyle w:val="il"/>
          <w:rFonts w:ascii="Perpetua" w:hAnsi="Perpetua" w:cs="Arial"/>
          <w:color w:val="222222"/>
          <w:sz w:val="26"/>
          <w:szCs w:val="26"/>
          <w:shd w:val="clear" w:color="auto" w:fill="FFFFFF"/>
        </w:rPr>
        <w:t>ethical</w:t>
      </w:r>
      <w:r w:rsidRPr="00F92077">
        <w:rPr>
          <w:rFonts w:ascii="Perpetua" w:hAnsi="Perpetua" w:cs="Arial"/>
          <w:color w:val="222222"/>
          <w:sz w:val="26"/>
          <w:szCs w:val="26"/>
          <w:shd w:val="clear" w:color="auto" w:fill="FFFFFF"/>
        </w:rPr>
        <w:t> </w:t>
      </w:r>
      <w:r w:rsidRPr="00F92077">
        <w:rPr>
          <w:rStyle w:val="il"/>
          <w:rFonts w:ascii="Perpetua" w:hAnsi="Perpetua" w:cs="Arial"/>
          <w:color w:val="222222"/>
          <w:sz w:val="26"/>
          <w:szCs w:val="26"/>
          <w:shd w:val="clear" w:color="auto" w:fill="FFFFFF"/>
        </w:rPr>
        <w:t>risks</w:t>
      </w:r>
      <w:r w:rsidRPr="00F92077">
        <w:rPr>
          <w:rFonts w:ascii="Perpetua" w:hAnsi="Perpetua" w:cs="Arial"/>
          <w:color w:val="222222"/>
          <w:sz w:val="26"/>
          <w:szCs w:val="26"/>
          <w:shd w:val="clear" w:color="auto" w:fill="FFFFFF"/>
        </w:rPr>
        <w:t> [Optional]: Please discuss, if applicable, any </w:t>
      </w:r>
      <w:r w:rsidRPr="00F92077">
        <w:rPr>
          <w:rStyle w:val="il"/>
          <w:rFonts w:ascii="Perpetua" w:hAnsi="Perpetua" w:cs="Arial"/>
          <w:color w:val="222222"/>
          <w:sz w:val="26"/>
          <w:szCs w:val="26"/>
          <w:shd w:val="clear" w:color="auto" w:fill="FFFFFF"/>
        </w:rPr>
        <w:t>ethical</w:t>
      </w:r>
      <w:r w:rsidRPr="00F92077">
        <w:rPr>
          <w:rFonts w:ascii="Perpetua" w:hAnsi="Perpetua" w:cs="Arial"/>
          <w:color w:val="222222"/>
          <w:sz w:val="26"/>
          <w:szCs w:val="26"/>
          <w:shd w:val="clear" w:color="auto" w:fill="FFFFFF"/>
        </w:rPr>
        <w:t> considerations that you feel warrant discussion but are not covered by your existing or planned IRB review. It is fine to leave this section partly or entirely blank; please detail only issues that are not or will not be covered by your IRB that you feel are</w:t>
      </w:r>
      <w:r w:rsidRPr="00F92077">
        <w:rPr>
          <w:rFonts w:ascii="Perpetua" w:hAnsi="Perpetua" w:cs="Arial"/>
          <w:color w:val="222222"/>
          <w:sz w:val="26"/>
          <w:szCs w:val="26"/>
        </w:rPr>
        <w:t xml:space="preserve"> </w:t>
      </w:r>
      <w:r w:rsidRPr="00F92077">
        <w:rPr>
          <w:rFonts w:ascii="Perpetua" w:hAnsi="Perpetua" w:cs="Arial"/>
          <w:color w:val="222222"/>
          <w:sz w:val="26"/>
          <w:szCs w:val="26"/>
          <w:shd w:val="clear" w:color="auto" w:fill="FFFFFF"/>
        </w:rPr>
        <w:t>potentially important enough for the review committee to be aware. For more details, see </w:t>
      </w:r>
      <w:hyperlink r:id="rId10" w:tgtFrame="_blank" w:history="1">
        <w:r w:rsidRPr="00F92077">
          <w:rPr>
            <w:rStyle w:val="Hyperlink"/>
            <w:rFonts w:ascii="Perpetua" w:hAnsi="Perpetua" w:cs="Arial"/>
            <w:color w:val="1155CC"/>
            <w:sz w:val="26"/>
            <w:szCs w:val="26"/>
            <w:shd w:val="clear" w:color="auto" w:fill="FFFFFF"/>
          </w:rPr>
          <w:t>here</w:t>
        </w:r>
      </w:hyperlink>
      <w:r w:rsidRPr="00F92077">
        <w:rPr>
          <w:rFonts w:ascii="Perpetua" w:hAnsi="Perpetua" w:cs="Arial"/>
          <w:color w:val="222222"/>
          <w:sz w:val="26"/>
          <w:szCs w:val="26"/>
          <w:shd w:val="clear" w:color="auto" w:fill="FFFFFF"/>
        </w:rPr>
        <w:t>.</w:t>
      </w:r>
    </w:p>
    <w:p w14:paraId="5D0FE5D0" w14:textId="77777777" w:rsidR="002A22CA" w:rsidRDefault="002A22CA">
      <w:pPr>
        <w:spacing w:after="0" w:line="240" w:lineRule="auto"/>
        <w:rPr>
          <w:rFonts w:ascii="Libre Baskerville" w:eastAsia="Libre Baskerville" w:hAnsi="Libre Baskerville" w:cs="Libre Baskerville"/>
          <w:sz w:val="26"/>
          <w:szCs w:val="26"/>
        </w:rPr>
      </w:pPr>
    </w:p>
    <w:p w14:paraId="45F04802" w14:textId="77777777" w:rsidR="002A22CA" w:rsidRDefault="001D4538">
      <w:pPr>
        <w:spacing w:after="0" w:line="240" w:lineRule="auto"/>
        <w:rPr>
          <w:rFonts w:ascii="Century Gothic" w:eastAsia="Century Gothic" w:hAnsi="Century Gothic" w:cs="Century Gothic"/>
          <w:b/>
          <w:sz w:val="26"/>
          <w:szCs w:val="26"/>
        </w:rPr>
      </w:pPr>
      <w:r>
        <w:rPr>
          <w:rFonts w:ascii="Century Gothic" w:eastAsia="Century Gothic" w:hAnsi="Century Gothic" w:cs="Century Gothic"/>
          <w:b/>
          <w:sz w:val="26"/>
          <w:szCs w:val="26"/>
        </w:rPr>
        <w:t>Budget</w:t>
      </w:r>
    </w:p>
    <w:p w14:paraId="6C15830C" w14:textId="77777777" w:rsidR="002A22CA" w:rsidRPr="00BF254E" w:rsidRDefault="001D4538">
      <w:pPr>
        <w:spacing w:after="0" w:line="240" w:lineRule="auto"/>
        <w:rPr>
          <w:rFonts w:ascii="Perpetua" w:eastAsia="Libre Baskerville" w:hAnsi="Perpetua" w:cs="Libre Baskerville"/>
          <w:sz w:val="26"/>
          <w:szCs w:val="26"/>
        </w:rPr>
      </w:pPr>
      <w:r w:rsidRPr="00BF254E">
        <w:rPr>
          <w:rFonts w:ascii="Perpetua" w:eastAsia="Libre Baskerville" w:hAnsi="Perpetua" w:cs="Libre Baskerville"/>
          <w:sz w:val="26"/>
          <w:szCs w:val="26"/>
        </w:rPr>
        <w:t>Please submit a detailed project budget using the Excel template available online. Travel/proposal development grants are intended to support costs related to PI travel and are provided as travel reimbursements in accordance with MIT travel policies. Please keep the following in mind when developing your budget:</w:t>
      </w:r>
    </w:p>
    <w:p w14:paraId="10516344" w14:textId="77777777" w:rsidR="002A22CA" w:rsidRPr="00BF254E" w:rsidRDefault="001D4538">
      <w:pPr>
        <w:numPr>
          <w:ilvl w:val="0"/>
          <w:numId w:val="3"/>
        </w:numPr>
        <w:spacing w:after="0" w:line="240" w:lineRule="auto"/>
        <w:rPr>
          <w:rFonts w:ascii="Perpetua" w:eastAsia="Libre Baskerville" w:hAnsi="Perpetua" w:cs="Libre Baskerville"/>
          <w:sz w:val="26"/>
          <w:szCs w:val="26"/>
        </w:rPr>
      </w:pPr>
      <w:r w:rsidRPr="00BF254E">
        <w:rPr>
          <w:rFonts w:ascii="Perpetua" w:eastAsia="Libre Baskerville" w:hAnsi="Perpetua" w:cs="Libre Baskerville"/>
          <w:sz w:val="26"/>
          <w:szCs w:val="26"/>
        </w:rPr>
        <w:t xml:space="preserve">Travel/proposal development grants are for a maximum of $10,000. The typical grant is $5,000 for one researcher. </w:t>
      </w:r>
    </w:p>
    <w:p w14:paraId="1D59DD94" w14:textId="77777777" w:rsidR="002A22CA" w:rsidRPr="00BF254E" w:rsidRDefault="001D4538">
      <w:pPr>
        <w:numPr>
          <w:ilvl w:val="0"/>
          <w:numId w:val="3"/>
        </w:numPr>
        <w:spacing w:after="0" w:line="240" w:lineRule="auto"/>
        <w:rPr>
          <w:rFonts w:ascii="Perpetua" w:eastAsia="Libre Baskerville" w:hAnsi="Perpetua" w:cs="Libre Baskerville"/>
          <w:sz w:val="26"/>
          <w:szCs w:val="26"/>
        </w:rPr>
      </w:pPr>
      <w:r w:rsidRPr="00BF254E">
        <w:rPr>
          <w:rFonts w:ascii="Perpetua" w:eastAsia="Libre Baskerville" w:hAnsi="Perpetua" w:cs="Libre Baskerville"/>
          <w:sz w:val="26"/>
          <w:szCs w:val="26"/>
        </w:rPr>
        <w:t>Travel grants are paid as travel reimbursements through MIT after travel is complete. If the budget includes expenses for in-country costs such as hiring enumerators, procuring translation or transcription services, etc., you will need to cover these costs out of pocket and submit receipts for reimbursement once travel is complete. J-PAL is not able to directly reimburse survey firms or local organizations for these costs.</w:t>
      </w:r>
    </w:p>
    <w:p w14:paraId="1B96413F" w14:textId="77777777" w:rsidR="002A22CA" w:rsidRPr="00BF254E" w:rsidRDefault="001D4538">
      <w:pPr>
        <w:numPr>
          <w:ilvl w:val="0"/>
          <w:numId w:val="3"/>
        </w:numPr>
        <w:spacing w:after="0" w:line="240" w:lineRule="auto"/>
        <w:rPr>
          <w:rFonts w:ascii="Perpetua" w:eastAsia="Libre Baskerville" w:hAnsi="Perpetua" w:cs="Libre Baskerville"/>
          <w:sz w:val="26"/>
          <w:szCs w:val="26"/>
        </w:rPr>
      </w:pPr>
      <w:r w:rsidRPr="00BF254E">
        <w:rPr>
          <w:rFonts w:ascii="Perpetua" w:eastAsia="Libre Baskerville" w:hAnsi="Perpetua" w:cs="Libre Baskerville"/>
          <w:sz w:val="26"/>
          <w:szCs w:val="26"/>
        </w:rPr>
        <w:t>If a grantee plans to work with a J-PAL regional office or IPA country office, they should notify the organization prior to submitting a travel/proposal development grant application, as these organizations may require applicants to budget for overhead or other expenses incurred. J-PAL can set up a contract to a partner organization, if necessary.</w:t>
      </w:r>
    </w:p>
    <w:p w14:paraId="6E51D67D" w14:textId="77777777" w:rsidR="002A22CA" w:rsidRPr="00BF254E" w:rsidRDefault="001D4538">
      <w:pPr>
        <w:numPr>
          <w:ilvl w:val="0"/>
          <w:numId w:val="3"/>
        </w:numPr>
        <w:spacing w:after="0" w:line="240" w:lineRule="auto"/>
        <w:rPr>
          <w:rFonts w:ascii="Perpetua" w:eastAsia="Libre Baskerville" w:hAnsi="Perpetua" w:cs="Libre Baskerville"/>
          <w:sz w:val="26"/>
          <w:szCs w:val="26"/>
        </w:rPr>
      </w:pPr>
      <w:r w:rsidRPr="00BF254E">
        <w:rPr>
          <w:rFonts w:ascii="Perpetua" w:eastAsia="Libre Baskerville" w:hAnsi="Perpetua" w:cs="Libre Baskerville"/>
          <w:sz w:val="26"/>
          <w:szCs w:val="26"/>
        </w:rPr>
        <w:t>Please include detailed budget notes in the column provided in the template.</w:t>
      </w:r>
    </w:p>
    <w:p w14:paraId="549E79FC" w14:textId="77777777" w:rsidR="002A22CA" w:rsidRPr="00BF254E" w:rsidRDefault="001D4538">
      <w:pPr>
        <w:numPr>
          <w:ilvl w:val="0"/>
          <w:numId w:val="3"/>
        </w:numPr>
        <w:spacing w:after="0" w:line="240" w:lineRule="auto"/>
        <w:rPr>
          <w:rFonts w:ascii="Perpetua" w:eastAsia="Libre Baskerville" w:hAnsi="Perpetua" w:cs="Libre Baskerville"/>
          <w:sz w:val="26"/>
          <w:szCs w:val="26"/>
          <w:u w:val="single"/>
        </w:rPr>
      </w:pPr>
      <w:r w:rsidRPr="00BF254E">
        <w:rPr>
          <w:rFonts w:ascii="Perpetua" w:eastAsia="Libre Baskerville" w:hAnsi="Perpetua" w:cs="Libre Baskerville"/>
          <w:i/>
          <w:sz w:val="26"/>
          <w:szCs w:val="26"/>
          <w:u w:val="single"/>
        </w:rPr>
        <w:t>Medical insurance</w:t>
      </w:r>
      <w:r w:rsidRPr="00BF254E">
        <w:rPr>
          <w:rFonts w:ascii="Perpetua" w:eastAsia="Libre Baskerville" w:hAnsi="Perpetua" w:cs="Libre Baskerville"/>
          <w:sz w:val="26"/>
          <w:szCs w:val="26"/>
        </w:rPr>
        <w:t>: All grantees are required to provide proof of emergency medical insurance coverage before travel. As many universities provide this to their students, faculty, and staff at no cost, this is not a reimbursable cost under this award. J-PAL can provide information on affordable coverage if needed.</w:t>
      </w:r>
    </w:p>
    <w:p w14:paraId="5EBAAD0F" w14:textId="77777777" w:rsidR="002A22CA" w:rsidRPr="00BF254E" w:rsidRDefault="001D4538">
      <w:pPr>
        <w:numPr>
          <w:ilvl w:val="0"/>
          <w:numId w:val="3"/>
        </w:numPr>
        <w:spacing w:after="0" w:line="240" w:lineRule="auto"/>
        <w:rPr>
          <w:rFonts w:ascii="Perpetua" w:eastAsia="Libre Baskerville" w:hAnsi="Perpetua" w:cs="Libre Baskerville"/>
          <w:sz w:val="26"/>
          <w:szCs w:val="26"/>
          <w:u w:val="single"/>
        </w:rPr>
      </w:pPr>
      <w:r w:rsidRPr="00BF254E">
        <w:rPr>
          <w:rFonts w:ascii="Perpetua" w:eastAsia="Libre Baskerville" w:hAnsi="Perpetua" w:cs="Libre Baskerville"/>
          <w:i/>
          <w:sz w:val="26"/>
          <w:szCs w:val="26"/>
          <w:u w:val="single"/>
        </w:rPr>
        <w:t>Expenses not allowed</w:t>
      </w:r>
      <w:r w:rsidRPr="00BF254E">
        <w:rPr>
          <w:rFonts w:ascii="Perpetua" w:eastAsia="Libre Baskerville" w:hAnsi="Perpetua" w:cs="Libre Baskerville"/>
          <w:sz w:val="26"/>
          <w:szCs w:val="26"/>
        </w:rPr>
        <w:t>:</w:t>
      </w:r>
      <w:r w:rsidRPr="00BF254E">
        <w:rPr>
          <w:rFonts w:ascii="Perpetua" w:eastAsia="Libre Baskerville" w:hAnsi="Perpetua" w:cs="Libre Baskerville"/>
          <w:b/>
          <w:sz w:val="26"/>
          <w:szCs w:val="26"/>
        </w:rPr>
        <w:t xml:space="preserve"> </w:t>
      </w:r>
      <w:r w:rsidRPr="00BF254E">
        <w:rPr>
          <w:rFonts w:ascii="Perpetua" w:eastAsia="Libre Baskerville" w:hAnsi="Perpetua" w:cs="Libre Baskerville"/>
          <w:sz w:val="26"/>
          <w:szCs w:val="26"/>
        </w:rPr>
        <w:t>J-PAL is not able to cover travel or trip protection insurance, lost luggage insurance, incidental expenses, or grantees’ time. In most cases, J-PAL is not able to directly reimburse any individuals or organizations other than the grantees awarded the travel/proposal development grant.</w:t>
      </w:r>
    </w:p>
    <w:p w14:paraId="3A8E0399" w14:textId="77777777" w:rsidR="002A22CA" w:rsidRPr="00BF254E" w:rsidRDefault="001D4538">
      <w:pPr>
        <w:numPr>
          <w:ilvl w:val="0"/>
          <w:numId w:val="3"/>
        </w:numPr>
        <w:spacing w:after="0" w:line="240" w:lineRule="auto"/>
        <w:rPr>
          <w:rFonts w:ascii="Perpetua" w:eastAsia="Libre Baskerville" w:hAnsi="Perpetua" w:cs="Libre Baskerville"/>
          <w:sz w:val="26"/>
          <w:szCs w:val="26"/>
        </w:rPr>
      </w:pPr>
      <w:r w:rsidRPr="00BF254E">
        <w:rPr>
          <w:rFonts w:ascii="Perpetua" w:eastAsia="Libre Baskerville" w:hAnsi="Perpetua" w:cs="Libre Baskerville"/>
          <w:sz w:val="26"/>
          <w:szCs w:val="26"/>
        </w:rPr>
        <w:t>Grantees must complete their travel/project development work and submit final reports within one year of receiving the award.</w:t>
      </w:r>
    </w:p>
    <w:p w14:paraId="752CD4AD" w14:textId="77777777" w:rsidR="002A22CA" w:rsidRPr="00BF254E" w:rsidRDefault="002A22CA">
      <w:pPr>
        <w:spacing w:after="0" w:line="240" w:lineRule="auto"/>
        <w:rPr>
          <w:rFonts w:ascii="Perpetua" w:eastAsia="Libre Baskerville" w:hAnsi="Perpetua" w:cs="Libre Baskerville"/>
          <w:b/>
          <w:sz w:val="26"/>
          <w:szCs w:val="26"/>
        </w:rPr>
      </w:pPr>
    </w:p>
    <w:p w14:paraId="53E7F7B8" w14:textId="77777777" w:rsidR="002A22CA" w:rsidRDefault="001D4538">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Letter of Support</w:t>
      </w:r>
    </w:p>
    <w:p w14:paraId="64153959" w14:textId="77777777" w:rsidR="002A22CA" w:rsidRPr="00BF254E" w:rsidRDefault="001D4538">
      <w:pPr>
        <w:spacing w:after="0" w:line="240" w:lineRule="auto"/>
        <w:rPr>
          <w:rFonts w:ascii="Perpetua" w:eastAsia="Libre Baskerville" w:hAnsi="Perpetua" w:cs="Libre Baskerville"/>
          <w:sz w:val="26"/>
          <w:szCs w:val="26"/>
        </w:rPr>
      </w:pPr>
      <w:r w:rsidRPr="00BF254E">
        <w:rPr>
          <w:rFonts w:ascii="Perpetua" w:eastAsia="Libre Baskerville" w:hAnsi="Perpetua" w:cs="Libre Baskerville"/>
          <w:sz w:val="26"/>
          <w:szCs w:val="26"/>
        </w:rPr>
        <w:t>Graduate student applicants are required to submit a letter of support from a J-PAL affiliate or GEA invited researcher who serves as an adviser on the applicant’s dissertation committee at their host university. This letter should indicate the adviser’s willingness to advise the student throughout the project’s lifetime. Letters can be included in the applicant’s submission packet.</w:t>
      </w:r>
    </w:p>
    <w:p w14:paraId="1D45FAE7" w14:textId="77777777" w:rsidR="002A22CA" w:rsidRDefault="002A22CA">
      <w:pPr>
        <w:spacing w:after="0" w:line="240" w:lineRule="auto"/>
        <w:rPr>
          <w:rFonts w:ascii="Libre Baskerville" w:eastAsia="Libre Baskerville" w:hAnsi="Libre Baskerville" w:cs="Libre Baskerville"/>
          <w:sz w:val="26"/>
          <w:szCs w:val="26"/>
        </w:rPr>
      </w:pPr>
    </w:p>
    <w:p w14:paraId="7ED61861" w14:textId="77777777" w:rsidR="000236F7" w:rsidRDefault="000236F7">
      <w:pPr>
        <w:spacing w:after="0" w:line="240" w:lineRule="auto"/>
        <w:rPr>
          <w:rFonts w:ascii="Century Gothic" w:eastAsia="Century Gothic" w:hAnsi="Century Gothic" w:cs="Century Gothic"/>
          <w:b/>
          <w:sz w:val="24"/>
          <w:szCs w:val="24"/>
        </w:rPr>
      </w:pPr>
    </w:p>
    <w:p w14:paraId="20B73527" w14:textId="3F822519" w:rsidR="002A22CA" w:rsidRDefault="001D4538">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Submission Instructions</w:t>
      </w:r>
    </w:p>
    <w:p w14:paraId="2F7EECB7" w14:textId="564E5781" w:rsidR="002A22CA" w:rsidRPr="00BF254E" w:rsidRDefault="001D4538">
      <w:pPr>
        <w:spacing w:after="0" w:line="240" w:lineRule="auto"/>
        <w:rPr>
          <w:rFonts w:ascii="Perpetua" w:eastAsia="Libre Baskerville" w:hAnsi="Perpetua" w:cs="Libre Baskerville"/>
          <w:b/>
          <w:sz w:val="26"/>
          <w:szCs w:val="26"/>
          <w:u w:val="single"/>
        </w:rPr>
      </w:pPr>
      <w:r w:rsidRPr="00BF254E">
        <w:rPr>
          <w:rFonts w:ascii="Perpetua" w:eastAsia="Libre Baskerville" w:hAnsi="Perpetua" w:cs="Libre Baskerville"/>
          <w:sz w:val="26"/>
          <w:szCs w:val="26"/>
        </w:rPr>
        <w:t xml:space="preserve">Please submit your application via </w:t>
      </w:r>
      <w:r w:rsidR="00BF254E" w:rsidRPr="00BF254E">
        <w:rPr>
          <w:rFonts w:ascii="Perpetua" w:eastAsia="Libre Baskerville" w:hAnsi="Perpetua" w:cs="Libre Baskerville"/>
          <w:sz w:val="26"/>
          <w:szCs w:val="26"/>
        </w:rPr>
        <w:t>J-PAL’s online portal</w:t>
      </w:r>
      <w:r w:rsidRPr="00BF254E">
        <w:rPr>
          <w:rFonts w:ascii="Perpetua" w:eastAsia="Libre Baskerville" w:hAnsi="Perpetua" w:cs="Libre Baskerville"/>
          <w:sz w:val="26"/>
          <w:szCs w:val="26"/>
        </w:rPr>
        <w:t xml:space="preserve">. The deadline for submissions is </w:t>
      </w:r>
      <w:r w:rsidR="000F6BD9">
        <w:rPr>
          <w:rFonts w:ascii="Perpetua" w:eastAsia="Libre Baskerville" w:hAnsi="Perpetua" w:cs="Libre Baskerville"/>
          <w:b/>
          <w:sz w:val="26"/>
          <w:szCs w:val="26"/>
          <w:u w:val="single"/>
        </w:rPr>
        <w:t>8</w:t>
      </w:r>
      <w:r w:rsidRPr="00BF254E">
        <w:rPr>
          <w:rFonts w:ascii="Perpetua" w:eastAsia="Libre Baskerville" w:hAnsi="Perpetua" w:cs="Libre Baskerville"/>
          <w:b/>
          <w:sz w:val="26"/>
          <w:szCs w:val="26"/>
          <w:u w:val="single"/>
        </w:rPr>
        <w:t xml:space="preserve">:59 p.m. ET on </w:t>
      </w:r>
      <w:r w:rsidR="00863856">
        <w:rPr>
          <w:rFonts w:ascii="Perpetua" w:eastAsia="Libre Baskerville" w:hAnsi="Perpetua" w:cs="Libre Baskerville"/>
          <w:b/>
          <w:sz w:val="26"/>
          <w:szCs w:val="26"/>
          <w:u w:val="single"/>
        </w:rPr>
        <w:t>Monday</w:t>
      </w:r>
      <w:r w:rsidRPr="00BF254E">
        <w:rPr>
          <w:rFonts w:ascii="Perpetua" w:eastAsia="Libre Baskerville" w:hAnsi="Perpetua" w:cs="Libre Baskerville"/>
          <w:b/>
          <w:sz w:val="26"/>
          <w:szCs w:val="26"/>
          <w:u w:val="single"/>
        </w:rPr>
        <w:t xml:space="preserve">, </w:t>
      </w:r>
      <w:r w:rsidR="000F6BD9">
        <w:rPr>
          <w:rFonts w:ascii="Perpetua" w:eastAsia="Libre Baskerville" w:hAnsi="Perpetua" w:cs="Libre Baskerville"/>
          <w:b/>
          <w:sz w:val="26"/>
          <w:szCs w:val="26"/>
          <w:u w:val="single"/>
        </w:rPr>
        <w:t>April 11</w:t>
      </w:r>
      <w:r w:rsidRPr="00BF254E">
        <w:rPr>
          <w:rFonts w:ascii="Perpetua" w:eastAsia="Libre Baskerville" w:hAnsi="Perpetua" w:cs="Libre Baskerville"/>
          <w:b/>
          <w:sz w:val="26"/>
          <w:szCs w:val="26"/>
          <w:u w:val="single"/>
        </w:rPr>
        <w:t>, 202</w:t>
      </w:r>
      <w:r w:rsidR="000F6BD9">
        <w:rPr>
          <w:rFonts w:ascii="Perpetua" w:eastAsia="Libre Baskerville" w:hAnsi="Perpetua" w:cs="Libre Baskerville"/>
          <w:b/>
          <w:sz w:val="26"/>
          <w:szCs w:val="26"/>
          <w:u w:val="single"/>
        </w:rPr>
        <w:t>2</w:t>
      </w:r>
      <w:r w:rsidRPr="00BF254E">
        <w:rPr>
          <w:rFonts w:ascii="Perpetua" w:eastAsia="Libre Baskerville" w:hAnsi="Perpetua" w:cs="Libre Baskerville"/>
          <w:b/>
          <w:sz w:val="26"/>
          <w:szCs w:val="26"/>
          <w:u w:val="single"/>
        </w:rPr>
        <w:t>.</w:t>
      </w:r>
    </w:p>
    <w:p w14:paraId="7EA2E6C6" w14:textId="1B25F660" w:rsidR="002A22CA" w:rsidRPr="000F6BD9" w:rsidRDefault="001D4538" w:rsidP="000F6BD9">
      <w:pPr>
        <w:rPr>
          <w:rFonts w:ascii="Libre Baskerville" w:eastAsia="Libre Baskerville" w:hAnsi="Libre Baskerville" w:cs="Libre Baskerville"/>
          <w:b/>
          <w:sz w:val="26"/>
          <w:szCs w:val="26"/>
          <w:u w:val="single"/>
        </w:rPr>
      </w:pPr>
      <w:r w:rsidRPr="00BF254E">
        <w:rPr>
          <w:rFonts w:ascii="Perpetua" w:eastAsia="Libre Baskerville" w:hAnsi="Perpetua" w:cs="Libre Baskerville"/>
          <w:sz w:val="26"/>
          <w:szCs w:val="26"/>
        </w:rPr>
        <w:t xml:space="preserve"> </w:t>
      </w:r>
    </w:p>
    <w:sectPr w:rsidR="002A22CA" w:rsidRPr="000F6BD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79F8" w14:textId="77777777" w:rsidR="006B0714" w:rsidRDefault="006B0714">
      <w:pPr>
        <w:spacing w:after="0" w:line="240" w:lineRule="auto"/>
      </w:pPr>
      <w:r>
        <w:separator/>
      </w:r>
    </w:p>
  </w:endnote>
  <w:endnote w:type="continuationSeparator" w:id="0">
    <w:p w14:paraId="26B33A39" w14:textId="77777777" w:rsidR="006B0714" w:rsidRDefault="006B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ibre Baskerville">
    <w:altName w:val="Calibri"/>
    <w:panose1 w:val="020B0604020202020204"/>
    <w:charset w:val="00"/>
    <w:family w:val="auto"/>
    <w:pitch w:val="default"/>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F2DF" w14:textId="77777777" w:rsidR="002A22CA" w:rsidRDefault="006B0714">
    <w:pPr>
      <w:pBdr>
        <w:top w:val="nil"/>
        <w:left w:val="nil"/>
        <w:bottom w:val="nil"/>
        <w:right w:val="nil"/>
        <w:between w:val="nil"/>
      </w:pBdr>
      <w:tabs>
        <w:tab w:val="center" w:pos="4680"/>
        <w:tab w:val="right" w:pos="9360"/>
      </w:tabs>
      <w:spacing w:after="0" w:line="240" w:lineRule="auto"/>
      <w:jc w:val="right"/>
      <w:rPr>
        <w:color w:val="000000"/>
      </w:rPr>
    </w:pPr>
    <w:hyperlink r:id="rId1">
      <w:r w:rsidR="001D4538">
        <w:rPr>
          <w:rFonts w:ascii="Century Gothic" w:eastAsia="Century Gothic" w:hAnsi="Century Gothic" w:cs="Century Gothic"/>
          <w:color w:val="0000FF"/>
          <w:sz w:val="24"/>
          <w:szCs w:val="24"/>
          <w:u w:val="single"/>
        </w:rPr>
        <w:t>www.povertyactionlab.org/GEA</w:t>
      </w:r>
    </w:hyperlink>
    <w:r w:rsidR="001D4538">
      <w:rPr>
        <w:color w:val="000000"/>
      </w:rPr>
      <w:t xml:space="preserve">                                                            </w:t>
    </w:r>
    <w:r w:rsidR="001D4538">
      <w:rPr>
        <w:color w:val="000000"/>
      </w:rPr>
      <w:fldChar w:fldCharType="begin"/>
    </w:r>
    <w:r w:rsidR="001D4538">
      <w:rPr>
        <w:color w:val="000000"/>
      </w:rPr>
      <w:instrText>PAGE</w:instrText>
    </w:r>
    <w:r w:rsidR="001D4538">
      <w:rPr>
        <w:color w:val="000000"/>
      </w:rPr>
      <w:fldChar w:fldCharType="separate"/>
    </w:r>
    <w:r w:rsidR="00BF254E">
      <w:rPr>
        <w:noProof/>
        <w:color w:val="000000"/>
      </w:rPr>
      <w:t>1</w:t>
    </w:r>
    <w:r w:rsidR="001D4538">
      <w:rPr>
        <w:color w:val="000000"/>
      </w:rPr>
      <w:fldChar w:fldCharType="end"/>
    </w:r>
  </w:p>
  <w:p w14:paraId="64F3196B" w14:textId="77777777" w:rsidR="002A22CA" w:rsidRDefault="002A22C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FA97" w14:textId="77777777" w:rsidR="006B0714" w:rsidRDefault="006B0714">
      <w:pPr>
        <w:spacing w:after="0" w:line="240" w:lineRule="auto"/>
      </w:pPr>
      <w:r>
        <w:separator/>
      </w:r>
    </w:p>
  </w:footnote>
  <w:footnote w:type="continuationSeparator" w:id="0">
    <w:p w14:paraId="33774E11" w14:textId="77777777" w:rsidR="006B0714" w:rsidRDefault="006B0714">
      <w:pPr>
        <w:spacing w:after="0" w:line="240" w:lineRule="auto"/>
      </w:pPr>
      <w:r>
        <w:continuationSeparator/>
      </w:r>
    </w:p>
  </w:footnote>
  <w:footnote w:id="1">
    <w:p w14:paraId="04EEFEC5" w14:textId="77777777" w:rsidR="00863856" w:rsidRPr="0038281D" w:rsidRDefault="00863856" w:rsidP="00863856">
      <w:pPr>
        <w:pBdr>
          <w:top w:val="nil"/>
          <w:left w:val="nil"/>
          <w:bottom w:val="nil"/>
          <w:right w:val="nil"/>
          <w:between w:val="nil"/>
        </w:pBdr>
        <w:rPr>
          <w:rFonts w:ascii="Perpetua" w:eastAsia="Libre Baskerville" w:hAnsi="Perpetua" w:cs="Libre Baskerville"/>
          <w:color w:val="000000"/>
        </w:rPr>
      </w:pPr>
      <w:r w:rsidRPr="0038281D">
        <w:rPr>
          <w:rStyle w:val="FootnoteReference"/>
          <w:rFonts w:ascii="Perpetua" w:hAnsi="Perpetua"/>
        </w:rPr>
        <w:footnoteRef/>
      </w:r>
      <w:r w:rsidRPr="0038281D">
        <w:rPr>
          <w:rFonts w:ascii="Perpetua" w:eastAsia="Libre Baskerville" w:hAnsi="Perpetua" w:cs="Libre Baskerville"/>
          <w:color w:val="000000"/>
        </w:rPr>
        <w:t xml:space="preserve"> Please note that full evaluations requesting less than $75,000 are considered full research projects and evaluated accordingly. The criteria for pilot funding apply only to proposals requesting funds to conduct piloting, or pre-randomization,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E606" w14:textId="77777777" w:rsidR="002A22CA" w:rsidRDefault="001D4538">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color w:val="000000"/>
        <w:sz w:val="24"/>
        <w:szCs w:val="24"/>
      </w:rPr>
    </w:pPr>
    <w:r>
      <w:rPr>
        <w:noProof/>
      </w:rPr>
      <w:drawing>
        <wp:anchor distT="0" distB="0" distL="114300" distR="114300" simplePos="0" relativeHeight="251658240" behindDoc="0" locked="0" layoutInCell="1" hidden="0" allowOverlap="1" wp14:anchorId="71F3DBDD" wp14:editId="3346A925">
          <wp:simplePos x="0" y="0"/>
          <wp:positionH relativeFrom="column">
            <wp:posOffset>1</wp:posOffset>
          </wp:positionH>
          <wp:positionV relativeFrom="paragraph">
            <wp:posOffset>-161924</wp:posOffset>
          </wp:positionV>
          <wp:extent cx="1548130" cy="61912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8130" cy="619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0D2"/>
    <w:multiLevelType w:val="multilevel"/>
    <w:tmpl w:val="2FA2B7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620E99"/>
    <w:multiLevelType w:val="multilevel"/>
    <w:tmpl w:val="42D8C7C4"/>
    <w:lvl w:ilvl="0">
      <w:start w:val="1"/>
      <w:numFmt w:val="decimal"/>
      <w:lvlText w:val="%1."/>
      <w:lvlJc w:val="left"/>
      <w:pPr>
        <w:ind w:left="720"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03AC7"/>
    <w:multiLevelType w:val="multilevel"/>
    <w:tmpl w:val="42D8C7C4"/>
    <w:lvl w:ilvl="0">
      <w:start w:val="1"/>
      <w:numFmt w:val="decimal"/>
      <w:lvlText w:val="%1."/>
      <w:lvlJc w:val="left"/>
      <w:pPr>
        <w:ind w:left="720"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65EE5"/>
    <w:multiLevelType w:val="multilevel"/>
    <w:tmpl w:val="64881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EE6B01"/>
    <w:multiLevelType w:val="multilevel"/>
    <w:tmpl w:val="E37E0634"/>
    <w:lvl w:ilvl="0">
      <w:start w:val="6"/>
      <w:numFmt w:val="decimal"/>
      <w:lvlText w:val="%1."/>
      <w:lvlJc w:val="left"/>
      <w:pPr>
        <w:ind w:left="720" w:hanging="360"/>
      </w:pPr>
      <w:rPr>
        <w:rFonts w:hint="default"/>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2678DF"/>
    <w:multiLevelType w:val="multilevel"/>
    <w:tmpl w:val="AD28669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CA"/>
    <w:rsid w:val="000236F7"/>
    <w:rsid w:val="000F6BD9"/>
    <w:rsid w:val="001D4538"/>
    <w:rsid w:val="002A22CA"/>
    <w:rsid w:val="0037699B"/>
    <w:rsid w:val="006321B6"/>
    <w:rsid w:val="006B0714"/>
    <w:rsid w:val="007B5AAE"/>
    <w:rsid w:val="00863856"/>
    <w:rsid w:val="00AB4D6F"/>
    <w:rsid w:val="00B00259"/>
    <w:rsid w:val="00BF254E"/>
    <w:rsid w:val="00CD56E1"/>
    <w:rsid w:val="00D4445C"/>
    <w:rsid w:val="00F9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0C18D"/>
  <w15:docId w15:val="{BBCB16C2-999F-474A-BBF3-B190C076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A4253"/>
    <w:pPr>
      <w:keepNext/>
      <w:spacing w:after="0" w:line="240" w:lineRule="auto"/>
      <w:outlineLvl w:val="2"/>
    </w:pPr>
    <w:rPr>
      <w:rFonts w:ascii="Times New Roman" w:eastAsia="Times New Roman" w:hAnsi="Times New Roman"/>
      <w:b/>
      <w:bCs/>
      <w:sz w:val="24"/>
      <w:szCs w:val="26"/>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431C9A"/>
    <w:pPr>
      <w:ind w:left="720"/>
      <w:contextualSpacing/>
    </w:pPr>
  </w:style>
  <w:style w:type="paragraph" w:styleId="Header">
    <w:name w:val="header"/>
    <w:basedOn w:val="Normal"/>
    <w:link w:val="HeaderChar"/>
    <w:uiPriority w:val="99"/>
    <w:unhideWhenUsed/>
    <w:rsid w:val="00E0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D5"/>
  </w:style>
  <w:style w:type="paragraph" w:styleId="Footer">
    <w:name w:val="footer"/>
    <w:basedOn w:val="Normal"/>
    <w:link w:val="FooterChar"/>
    <w:uiPriority w:val="99"/>
    <w:unhideWhenUsed/>
    <w:rsid w:val="00E0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D5"/>
  </w:style>
  <w:style w:type="character" w:styleId="CommentReference">
    <w:name w:val="annotation reference"/>
    <w:uiPriority w:val="99"/>
    <w:semiHidden/>
    <w:unhideWhenUsed/>
    <w:rsid w:val="00E04ED5"/>
    <w:rPr>
      <w:sz w:val="16"/>
      <w:szCs w:val="16"/>
    </w:rPr>
  </w:style>
  <w:style w:type="paragraph" w:styleId="CommentText">
    <w:name w:val="annotation text"/>
    <w:basedOn w:val="Normal"/>
    <w:link w:val="CommentTextChar"/>
    <w:uiPriority w:val="99"/>
    <w:unhideWhenUsed/>
    <w:rsid w:val="00E04ED5"/>
    <w:pPr>
      <w:spacing w:line="240" w:lineRule="auto"/>
    </w:pPr>
    <w:rPr>
      <w:sz w:val="20"/>
      <w:szCs w:val="20"/>
    </w:rPr>
  </w:style>
  <w:style w:type="character" w:customStyle="1" w:styleId="CommentTextChar">
    <w:name w:val="Comment Text Char"/>
    <w:link w:val="CommentText"/>
    <w:uiPriority w:val="99"/>
    <w:rsid w:val="00E04ED5"/>
    <w:rPr>
      <w:sz w:val="20"/>
      <w:szCs w:val="20"/>
    </w:rPr>
  </w:style>
  <w:style w:type="paragraph" w:styleId="CommentSubject">
    <w:name w:val="annotation subject"/>
    <w:basedOn w:val="CommentText"/>
    <w:next w:val="CommentText"/>
    <w:link w:val="CommentSubjectChar"/>
    <w:uiPriority w:val="99"/>
    <w:semiHidden/>
    <w:unhideWhenUsed/>
    <w:rsid w:val="00E04ED5"/>
    <w:rPr>
      <w:b/>
      <w:bCs/>
    </w:rPr>
  </w:style>
  <w:style w:type="character" w:customStyle="1" w:styleId="CommentSubjectChar">
    <w:name w:val="Comment Subject Char"/>
    <w:link w:val="CommentSubject"/>
    <w:uiPriority w:val="99"/>
    <w:semiHidden/>
    <w:rsid w:val="00E04ED5"/>
    <w:rPr>
      <w:b/>
      <w:bCs/>
      <w:sz w:val="20"/>
      <w:szCs w:val="20"/>
    </w:rPr>
  </w:style>
  <w:style w:type="paragraph" w:styleId="BalloonText">
    <w:name w:val="Balloon Text"/>
    <w:basedOn w:val="Normal"/>
    <w:link w:val="BalloonTextChar"/>
    <w:uiPriority w:val="99"/>
    <w:semiHidden/>
    <w:unhideWhenUsed/>
    <w:rsid w:val="00E04E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4ED5"/>
    <w:rPr>
      <w:rFonts w:ascii="Tahoma" w:hAnsi="Tahoma" w:cs="Tahoma"/>
      <w:sz w:val="16"/>
      <w:szCs w:val="16"/>
    </w:rPr>
  </w:style>
  <w:style w:type="table" w:styleId="TableGrid">
    <w:name w:val="Table Grid"/>
    <w:basedOn w:val="TableNormal"/>
    <w:uiPriority w:val="59"/>
    <w:rsid w:val="00B0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2207"/>
    <w:pPr>
      <w:spacing w:after="0" w:line="240" w:lineRule="auto"/>
    </w:pPr>
    <w:rPr>
      <w:sz w:val="20"/>
      <w:szCs w:val="20"/>
    </w:rPr>
  </w:style>
  <w:style w:type="character" w:customStyle="1" w:styleId="FootnoteTextChar">
    <w:name w:val="Footnote Text Char"/>
    <w:link w:val="FootnoteText"/>
    <w:uiPriority w:val="99"/>
    <w:rsid w:val="003E2207"/>
    <w:rPr>
      <w:sz w:val="20"/>
      <w:szCs w:val="20"/>
    </w:rPr>
  </w:style>
  <w:style w:type="character" w:styleId="FootnoteReference">
    <w:name w:val="footnote reference"/>
    <w:uiPriority w:val="99"/>
    <w:unhideWhenUsed/>
    <w:qFormat/>
    <w:rsid w:val="003E2207"/>
    <w:rPr>
      <w:vertAlign w:val="superscript"/>
    </w:rPr>
  </w:style>
  <w:style w:type="character" w:styleId="Hyperlink">
    <w:name w:val="Hyperlink"/>
    <w:uiPriority w:val="99"/>
    <w:rsid w:val="001022A7"/>
    <w:rPr>
      <w:color w:val="0000FF"/>
      <w:u w:val="single"/>
    </w:rPr>
  </w:style>
  <w:style w:type="character" w:customStyle="1" w:styleId="Heading3Char">
    <w:name w:val="Heading 3 Char"/>
    <w:link w:val="Heading3"/>
    <w:rsid w:val="008A4253"/>
    <w:rPr>
      <w:rFonts w:ascii="Times New Roman" w:eastAsia="Times New Roman" w:hAnsi="Times New Roman" w:cs="Times New Roman"/>
      <w:b/>
      <w:bCs/>
      <w:sz w:val="24"/>
      <w:szCs w:val="26"/>
      <w:lang w:val="x-none" w:eastAsia="x-none"/>
    </w:rPr>
  </w:style>
  <w:style w:type="paragraph" w:customStyle="1" w:styleId="ColorfulShading-Accent11">
    <w:name w:val="Colorful Shading - Accent 11"/>
    <w:hidden/>
    <w:uiPriority w:val="99"/>
    <w:semiHidden/>
    <w:rsid w:val="00AD2906"/>
  </w:style>
  <w:style w:type="character" w:styleId="FollowedHyperlink">
    <w:name w:val="FollowedHyperlink"/>
    <w:uiPriority w:val="99"/>
    <w:semiHidden/>
    <w:unhideWhenUsed/>
    <w:rsid w:val="00184AF5"/>
    <w:rPr>
      <w:color w:val="800080"/>
      <w:u w:val="single"/>
    </w:rPr>
  </w:style>
  <w:style w:type="paragraph" w:styleId="NormalWeb">
    <w:name w:val="Normal (Web)"/>
    <w:basedOn w:val="Normal"/>
    <w:uiPriority w:val="99"/>
    <w:semiHidden/>
    <w:unhideWhenUsed/>
    <w:rsid w:val="008D44CA"/>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BA2A6D"/>
    <w:pPr>
      <w:ind w:left="720"/>
      <w:contextualSpacing/>
    </w:pPr>
    <w:rPr>
      <w:rFonts w:eastAsia="Times New Roman"/>
    </w:rPr>
  </w:style>
  <w:style w:type="character" w:styleId="UnresolvedMention">
    <w:name w:val="Unresolved Mention"/>
    <w:basedOn w:val="DefaultParagraphFont"/>
    <w:uiPriority w:val="99"/>
    <w:rsid w:val="004C7A9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3856"/>
    <w:pPr>
      <w:ind w:left="720"/>
      <w:contextualSpacing/>
    </w:pPr>
  </w:style>
  <w:style w:type="character" w:customStyle="1" w:styleId="il">
    <w:name w:val="il"/>
    <w:basedOn w:val="DefaultParagraphFont"/>
    <w:rsid w:val="0086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vertyactionlab.org/initiative/gender-and-economic-agency-initiat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ive.google.com/file/d/15-EdgIfCOp6b_uvA5QQMzbU5QTw01rEk/view?usp=sharing" TargetMode="External"/><Relationship Id="rId4" Type="http://schemas.openxmlformats.org/officeDocument/2006/relationships/settings" Target="settings.xml"/><Relationship Id="rId9" Type="http://schemas.openxmlformats.org/officeDocument/2006/relationships/hyperlink" Target="https://www.povertyactionlab.org/review-paper/gender-and-economic-agency-initiative-gea-overview-research-opportunit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overtyactionlab.org/initiative/gender-and-economic-agency-initia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4J/2V/P+gRPs/JoG2giqaWvPQ==">AMUW2mVOrPePRYAFQjO3wszKMiK93NOj83gs8Cd9TtZFkwF+vyfTPvaAKtrdNrevSAi+k3Vj5IwN+C4Nq72DLCSZCfIZD6JmjTp9Onr8FB48v1IMfX8WXNNUBwJPySYeR/JjVTU4FflA+HBgklm6qpL35HWTaI+eKxyVvEsBhnisRdCN2JoZOW8Zh8RdnasAfPA4Hrf6O7PEoiYASzINFetwzy0wHFR8DFxRo5/XHfszReINYQ8YUOE=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Schickele</dc:creator>
  <cp:lastModifiedBy>Megan Morris</cp:lastModifiedBy>
  <cp:revision>2</cp:revision>
  <dcterms:created xsi:type="dcterms:W3CDTF">2022-01-18T17:43:00Z</dcterms:created>
  <dcterms:modified xsi:type="dcterms:W3CDTF">2022-01-18T17:43:00Z</dcterms:modified>
</cp:coreProperties>
</file>