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b w:val="1"/>
          <w:sz w:val="20"/>
          <w:szCs w:val="20"/>
          <w:highlight w:val="white"/>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community wide policies</w:t>
        </w:r>
      </w:hyperlink>
      <w:r w:rsidDel="00000000" w:rsidR="00000000" w:rsidRPr="00000000">
        <w:rPr>
          <w:rFonts w:ascii="Palatino Linotype" w:cs="Palatino Linotype" w:eastAsia="Palatino Linotype" w:hAnsi="Palatino Linotype"/>
          <w:b w:val="1"/>
          <w:sz w:val="20"/>
          <w:szCs w:val="20"/>
          <w:highlight w:val="white"/>
          <w:rtl w:val="0"/>
        </w:rPr>
        <w:t xml:space="preserve">. </w:t>
      </w:r>
      <w:r w:rsidDel="00000000" w:rsidR="00000000" w:rsidRPr="00000000">
        <w:rPr>
          <w:rtl w:val="0"/>
        </w:rPr>
      </w:r>
    </w:p>
    <w:p w:rsidR="00000000" w:rsidDel="00000000" w:rsidP="00000000" w:rsidRDefault="00000000" w:rsidRPr="00000000" w14:paraId="0000007B">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2"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4"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HCDI XXI</w:t>
    </w:r>
    <w:r w:rsidDel="00000000" w:rsidR="00000000" w:rsidRPr="00000000">
      <w:rPr>
        <w:rFonts w:ascii="Palatino Linotype" w:cs="Palatino Linotype" w:eastAsia="Palatino Linotype" w:hAnsi="Palatino Linotype"/>
        <w:color w:val="000000"/>
        <w:sz w:val="20"/>
        <w:szCs w:val="20"/>
        <w:rtl w:val="0"/>
      </w:rPr>
      <w:t xml:space="preserve"> RFP                                                                                   Proposals due: </w:t>
    </w:r>
    <w:r w:rsidDel="00000000" w:rsidR="00000000" w:rsidRPr="00000000">
      <w:rPr>
        <w:rFonts w:ascii="Palatino Linotype" w:cs="Palatino Linotype" w:eastAsia="Palatino Linotype" w:hAnsi="Palatino Linotype"/>
        <w:sz w:val="20"/>
        <w:szCs w:val="20"/>
        <w:rtl w:val="0"/>
      </w:rPr>
      <w:t xml:space="preserve">January 17, 2024</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gi3eFTeJaoRSC4m72zhfFkHOhQ==">AMUW2mX84hP3e+RsaJmFr+n/nBC/NUMv2SxPFWS2SGJpme7yB9vr/qyd2uzGYHtarVA+jnq8jbqEvYFYk90pKIDXfLUb4sdy3+sVXhp5OhBsPkhpSCe99gToIz1xYY6uApe5dyuridLz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