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p>
    <w:tbl>
      <w:tblPr>
        <w:tblStyle w:val="Table1"/>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65"/>
        <w:gridCol w:w="2715"/>
        <w:tblGridChange w:id="0">
          <w:tblGrid>
            <w:gridCol w:w="1890"/>
            <w:gridCol w:w="2790"/>
            <w:gridCol w:w="1710"/>
            <w:gridCol w:w="165"/>
            <w:gridCol w:w="271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Co-Funder(s) </w:t>
            </w:r>
            <w:r w:rsidDel="00000000" w:rsidR="00000000" w:rsidRPr="00000000">
              <w:rPr>
                <w:rtl w:val="0"/>
              </w:rPr>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proposal (or a proposal related to the same evaluation)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36"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5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9">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6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7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18"/>
          <w:szCs w:val="18"/>
          <w:rtl w:val="0"/>
        </w:rPr>
        <w:t xml:space="preserve">☐ </w:t>
      </w:r>
      <w:r w:rsidDel="00000000" w:rsidR="00000000" w:rsidRPr="00000000">
        <w:rPr>
          <w:rFonts w:ascii="Palatino Linotype" w:cs="Palatino Linotype" w:eastAsia="Palatino Linotype" w:hAnsi="Palatino Linotype"/>
          <w:b w:val="1"/>
          <w:sz w:val="20"/>
          <w:szCs w:val="20"/>
          <w:highlight w:val="white"/>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rFonts w:ascii="Palatino Linotype" w:cs="Palatino Linotype" w:eastAsia="Palatino Linotype" w:hAnsi="Palatino Linotype"/>
            <w:b w:val="1"/>
            <w:color w:val="1155cc"/>
            <w:sz w:val="20"/>
            <w:szCs w:val="20"/>
            <w:highlight w:val="white"/>
            <w:u w:val="single"/>
            <w:rtl w:val="0"/>
          </w:rPr>
          <w:t xml:space="preserve">community wide policies</w:t>
        </w:r>
      </w:hyperlink>
      <w:r w:rsidDel="00000000" w:rsidR="00000000" w:rsidRPr="00000000">
        <w:rPr>
          <w:rFonts w:ascii="Palatino Linotype" w:cs="Palatino Linotype" w:eastAsia="Palatino Linotype" w:hAnsi="Palatino Linotype"/>
          <w:b w:val="1"/>
          <w:sz w:val="20"/>
          <w:szCs w:val="20"/>
          <w:highlight w:val="white"/>
          <w:rtl w:val="0"/>
        </w:rPr>
        <w:t xml:space="preserve">. </w:t>
      </w:r>
      <w:r w:rsidDel="00000000" w:rsidR="00000000" w:rsidRPr="00000000">
        <w:rPr>
          <w:rtl w:val="0"/>
        </w:rPr>
      </w:r>
    </w:p>
    <w:p w:rsidR="00000000" w:rsidDel="00000000" w:rsidP="00000000" w:rsidRDefault="00000000" w:rsidRPr="00000000" w14:paraId="0000007B">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C">
      <w:pPr>
        <w:pageBreakBefore w:val="0"/>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7D">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7E">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7F">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80">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1">
      <w:pPr>
        <w:pageBreakBefore w:val="0"/>
        <w:spacing w:line="276" w:lineRule="auto"/>
        <w:jc w:val="both"/>
        <w:rPr>
          <w:rFonts w:ascii="Palatino Linotype" w:cs="Palatino Linotype" w:eastAsia="Palatino Linotype" w:hAnsi="Palatino Linotype"/>
          <w:color w:val="800000"/>
          <w:sz w:val="20"/>
          <w:szCs w:val="20"/>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2"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4"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Health Care Delivery Initiative </w:t>
    </w:r>
    <w:r w:rsidDel="00000000" w:rsidR="00000000" w:rsidRPr="00000000">
      <w:rPr>
        <w:rFonts w:ascii="Palatino Linotype" w:cs="Palatino Linotype" w:eastAsia="Palatino Linotype" w:hAnsi="Palatino Linotype"/>
        <w:color w:val="000000"/>
        <w:sz w:val="20"/>
        <w:szCs w:val="20"/>
        <w:rtl w:val="0"/>
      </w:rPr>
      <w:t xml:space="preserve">RFP XXII                                                                 Proposals due: </w:t>
    </w:r>
    <w:r w:rsidDel="00000000" w:rsidR="00000000" w:rsidRPr="00000000">
      <w:rPr>
        <w:rFonts w:ascii="Palatino Linotype" w:cs="Palatino Linotype" w:eastAsia="Palatino Linotype" w:hAnsi="Palatino Linotype"/>
        <w:sz w:val="20"/>
        <w:szCs w:val="20"/>
        <w:rtl w:val="0"/>
      </w:rPr>
      <w:t xml:space="preserve">June 11, 2024</w:t>
    </w:r>
    <w:r w:rsidDel="00000000" w:rsidR="00000000" w:rsidRPr="00000000">
      <w:rPr>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u93EJpIDUM4rZCnheVJ+tOd2Iw==">CgMxLjAyCGguZ2pkZ3hzOAByITFUUkFKeEprSHhLTHpyNTNfN0xzTmRPdjFSQVptNjJRSg==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